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5C036" w14:textId="77777777" w:rsidR="00476AB8" w:rsidRPr="00852869" w:rsidRDefault="00476AB8" w:rsidP="00852869">
      <w:pPr>
        <w:spacing w:after="0" w:line="360" w:lineRule="auto"/>
        <w:ind w:firstLine="708"/>
        <w:jc w:val="center"/>
        <w:rPr>
          <w:rFonts w:ascii="Times New Roman" w:hAnsi="Times New Roman" w:cs="Times New Roman"/>
          <w:b/>
          <w:bCs/>
          <w:sz w:val="24"/>
          <w:szCs w:val="24"/>
        </w:rPr>
      </w:pPr>
      <w:r w:rsidRPr="00852869">
        <w:rPr>
          <w:rFonts w:ascii="Times New Roman" w:hAnsi="Times New Roman" w:cs="Times New Roman"/>
          <w:b/>
          <w:bCs/>
          <w:sz w:val="24"/>
          <w:szCs w:val="24"/>
        </w:rPr>
        <w:t>SZCZEGÓŁOWY OPIS PRZEDMIOTU ZAMÓWIENIA</w:t>
      </w:r>
    </w:p>
    <w:p w14:paraId="07BB96B6" w14:textId="37D394B3" w:rsidR="00476AB8" w:rsidRPr="00852869" w:rsidRDefault="00B1159D" w:rsidP="00852869">
      <w:pPr>
        <w:spacing w:after="0" w:line="360" w:lineRule="auto"/>
        <w:ind w:firstLine="708"/>
        <w:jc w:val="center"/>
        <w:rPr>
          <w:rFonts w:ascii="Times New Roman" w:hAnsi="Times New Roman" w:cs="Times New Roman"/>
          <w:b/>
          <w:bCs/>
          <w:sz w:val="24"/>
          <w:szCs w:val="24"/>
        </w:rPr>
      </w:pPr>
      <w:r w:rsidRPr="00852869">
        <w:rPr>
          <w:rFonts w:ascii="Times New Roman" w:hAnsi="Times New Roman" w:cs="Times New Roman"/>
          <w:b/>
          <w:bCs/>
          <w:sz w:val="24"/>
          <w:szCs w:val="24"/>
        </w:rPr>
        <w:t xml:space="preserve">Nazwa zadania: </w:t>
      </w:r>
      <w:r w:rsidR="00A31614" w:rsidRPr="00852869">
        <w:rPr>
          <w:rFonts w:ascii="Times New Roman" w:hAnsi="Times New Roman" w:cs="Times New Roman"/>
          <w:b/>
          <w:bCs/>
          <w:i/>
          <w:iCs/>
          <w:sz w:val="24"/>
          <w:szCs w:val="24"/>
        </w:rPr>
        <w:t>Modernizacja drogi w miejscowości Lublino</w:t>
      </w:r>
    </w:p>
    <w:p w14:paraId="42917558" w14:textId="77777777" w:rsidR="00476AB8" w:rsidRPr="00852869" w:rsidRDefault="00476AB8" w:rsidP="00852869">
      <w:pPr>
        <w:spacing w:after="0" w:line="360" w:lineRule="auto"/>
        <w:ind w:firstLine="708"/>
        <w:jc w:val="center"/>
        <w:rPr>
          <w:rFonts w:ascii="Times New Roman" w:hAnsi="Times New Roman" w:cs="Times New Roman"/>
          <w:b/>
          <w:bCs/>
          <w:sz w:val="24"/>
          <w:szCs w:val="24"/>
        </w:rPr>
      </w:pPr>
    </w:p>
    <w:p w14:paraId="436F08A6" w14:textId="70DC164A" w:rsidR="00C30B8A" w:rsidRPr="00852869" w:rsidRDefault="00C30B8A" w:rsidP="00852869">
      <w:pPr>
        <w:spacing w:after="160" w:line="360" w:lineRule="auto"/>
        <w:rPr>
          <w:rFonts w:ascii="Times New Roman" w:eastAsia="Calibri" w:hAnsi="Times New Roman" w:cs="Times New Roman"/>
          <w:b/>
          <w:bCs/>
          <w:sz w:val="24"/>
          <w:szCs w:val="24"/>
        </w:rPr>
      </w:pPr>
      <w:r w:rsidRPr="00852869">
        <w:rPr>
          <w:rFonts w:ascii="Times New Roman" w:eastAsia="Calibri" w:hAnsi="Times New Roman" w:cs="Times New Roman"/>
          <w:b/>
          <w:bCs/>
          <w:sz w:val="24"/>
          <w:szCs w:val="24"/>
        </w:rPr>
        <w:t xml:space="preserve">PRZEDMIOT ZAMÓWIENIA </w:t>
      </w:r>
    </w:p>
    <w:p w14:paraId="6F2E164D" w14:textId="7CAD99A4" w:rsidR="00085111" w:rsidRPr="00852869" w:rsidRDefault="00A31614" w:rsidP="00852869">
      <w:pPr>
        <w:autoSpaceDE w:val="0"/>
        <w:autoSpaceDN w:val="0"/>
        <w:adjustRightInd w:val="0"/>
        <w:spacing w:after="0" w:line="360" w:lineRule="auto"/>
        <w:jc w:val="both"/>
        <w:rPr>
          <w:rFonts w:ascii="Times New Roman" w:eastAsia="CIDFont+F3" w:hAnsi="Times New Roman" w:cs="Times New Roman"/>
          <w:sz w:val="24"/>
          <w:szCs w:val="24"/>
        </w:rPr>
      </w:pPr>
      <w:r w:rsidRPr="00852869">
        <w:rPr>
          <w:rFonts w:ascii="Times New Roman" w:eastAsia="Calibri" w:hAnsi="Times New Roman" w:cs="Times New Roman"/>
          <w:sz w:val="24"/>
          <w:szCs w:val="24"/>
        </w:rPr>
        <w:t>1.</w:t>
      </w:r>
      <w:r w:rsidR="00C30B8A" w:rsidRPr="00852869">
        <w:rPr>
          <w:rFonts w:ascii="Times New Roman" w:eastAsia="Calibri" w:hAnsi="Times New Roman" w:cs="Times New Roman"/>
          <w:sz w:val="24"/>
          <w:szCs w:val="24"/>
        </w:rPr>
        <w:t xml:space="preserve">Przedmiotem zamówienia  jest  </w:t>
      </w:r>
      <w:r w:rsidR="00085111" w:rsidRPr="00852869">
        <w:rPr>
          <w:rFonts w:ascii="Times New Roman" w:eastAsia="Calibri" w:hAnsi="Times New Roman" w:cs="Times New Roman"/>
          <w:sz w:val="24"/>
          <w:szCs w:val="24"/>
        </w:rPr>
        <w:t xml:space="preserve">przebudowa drogi </w:t>
      </w:r>
      <w:r w:rsidRPr="00852869">
        <w:rPr>
          <w:rFonts w:ascii="Times New Roman" w:eastAsia="Calibri" w:hAnsi="Times New Roman" w:cs="Times New Roman"/>
          <w:sz w:val="24"/>
          <w:szCs w:val="24"/>
        </w:rPr>
        <w:t>w miejscowości Lublino</w:t>
      </w:r>
      <w:r w:rsidR="00085111" w:rsidRPr="00852869">
        <w:rPr>
          <w:rFonts w:ascii="Times New Roman" w:eastAsia="Calibri" w:hAnsi="Times New Roman" w:cs="Times New Roman"/>
          <w:sz w:val="24"/>
          <w:szCs w:val="24"/>
        </w:rPr>
        <w:t xml:space="preserve">, inwestycja dofinasowana jest z Rządowego Funduszu Polski Ład: Program Inwestycji Strategicznych. </w:t>
      </w:r>
    </w:p>
    <w:p w14:paraId="6B3AD41D" w14:textId="77777777" w:rsidR="00532AFE" w:rsidRPr="00852869" w:rsidRDefault="00532AFE" w:rsidP="00852869">
      <w:pPr>
        <w:pStyle w:val="Akapitzlist"/>
        <w:autoSpaceDE w:val="0"/>
        <w:autoSpaceDN w:val="0"/>
        <w:adjustRightInd w:val="0"/>
        <w:spacing w:after="0" w:line="360" w:lineRule="auto"/>
        <w:ind w:left="435"/>
        <w:rPr>
          <w:rFonts w:eastAsia="CIDFont+F3"/>
        </w:rPr>
      </w:pPr>
    </w:p>
    <w:p w14:paraId="46BA446C" w14:textId="17AE9D05" w:rsidR="00A31614" w:rsidRPr="00852869" w:rsidRDefault="00532AFE" w:rsidP="00852869">
      <w:pPr>
        <w:autoSpaceDE w:val="0"/>
        <w:autoSpaceDN w:val="0"/>
        <w:adjustRightInd w:val="0"/>
        <w:spacing w:after="0" w:line="360" w:lineRule="auto"/>
        <w:jc w:val="both"/>
        <w:rPr>
          <w:rFonts w:ascii="Times New Roman" w:eastAsia="Calibri" w:hAnsi="Times New Roman" w:cs="Times New Roman"/>
          <w:sz w:val="24"/>
          <w:szCs w:val="24"/>
          <w:lang w:eastAsia="en-US"/>
        </w:rPr>
      </w:pPr>
      <w:r w:rsidRPr="00852869">
        <w:rPr>
          <w:rFonts w:ascii="Times New Roman" w:eastAsia="CIDFont+F3" w:hAnsi="Times New Roman" w:cs="Times New Roman"/>
          <w:sz w:val="24"/>
          <w:szCs w:val="24"/>
        </w:rPr>
        <w:t xml:space="preserve">Inwestycja obejmuje działki oznaczone numerami ewidencyjnymi: </w:t>
      </w:r>
      <w:r w:rsidR="00A31614" w:rsidRPr="00852869">
        <w:rPr>
          <w:rFonts w:ascii="Times New Roman" w:eastAsia="CIDFont+F3" w:hAnsi="Times New Roman" w:cs="Times New Roman"/>
          <w:sz w:val="24"/>
          <w:szCs w:val="24"/>
        </w:rPr>
        <w:t>92/1 oraz 107 obręb Lublino, gmina Chociwel,  na odcinku</w:t>
      </w:r>
      <w:r w:rsidR="00A31614" w:rsidRPr="00852869">
        <w:rPr>
          <w:rFonts w:ascii="Times New Roman" w:hAnsi="Times New Roman" w:cs="Times New Roman"/>
          <w:sz w:val="24"/>
          <w:szCs w:val="24"/>
        </w:rPr>
        <w:t xml:space="preserve"> </w:t>
      </w:r>
      <w:r w:rsidR="00A31614" w:rsidRPr="00852869">
        <w:rPr>
          <w:rFonts w:ascii="Times New Roman" w:eastAsia="CIDFont+F3" w:hAnsi="Times New Roman" w:cs="Times New Roman"/>
          <w:sz w:val="24"/>
          <w:szCs w:val="24"/>
        </w:rPr>
        <w:t xml:space="preserve">- Etap II projektu budowlanego od 0+070,00 do 0+3128,50  </w:t>
      </w:r>
      <w:r w:rsidR="00A31614" w:rsidRPr="00A31614">
        <w:rPr>
          <w:rFonts w:ascii="Times New Roman" w:eastAsia="Calibri" w:hAnsi="Times New Roman" w:cs="Times New Roman"/>
          <w:sz w:val="24"/>
          <w:szCs w:val="24"/>
          <w:lang w:eastAsia="en-US"/>
        </w:rPr>
        <w:t xml:space="preserve"> o projektowanej jezdni o szerokości 3,0 - 5,0m o nawierzchni   z betonu asfaltowego i</w:t>
      </w:r>
      <w:r w:rsidR="00A31614" w:rsidRPr="00852869">
        <w:rPr>
          <w:rFonts w:ascii="Times New Roman" w:eastAsia="Calibri" w:hAnsi="Times New Roman" w:cs="Times New Roman"/>
          <w:sz w:val="24"/>
          <w:szCs w:val="24"/>
          <w:lang w:eastAsia="en-US"/>
        </w:rPr>
        <w:t xml:space="preserve"> </w:t>
      </w:r>
      <w:r w:rsidR="00A31614" w:rsidRPr="00A31614">
        <w:rPr>
          <w:rFonts w:ascii="Times New Roman" w:eastAsia="Calibri" w:hAnsi="Times New Roman" w:cs="Times New Roman"/>
          <w:sz w:val="24"/>
          <w:szCs w:val="24"/>
          <w:lang w:eastAsia="en-US"/>
        </w:rPr>
        <w:t>mieszanek</w:t>
      </w:r>
      <w:r w:rsidR="00A31614" w:rsidRPr="00852869">
        <w:rPr>
          <w:rFonts w:ascii="Times New Roman" w:eastAsia="Calibri" w:hAnsi="Times New Roman" w:cs="Times New Roman"/>
          <w:sz w:val="24"/>
          <w:szCs w:val="24"/>
          <w:lang w:eastAsia="en-US"/>
        </w:rPr>
        <w:t xml:space="preserve"> </w:t>
      </w:r>
      <w:r w:rsidR="00A31614" w:rsidRPr="00A31614">
        <w:rPr>
          <w:rFonts w:ascii="Times New Roman" w:eastAsia="Calibri" w:hAnsi="Times New Roman" w:cs="Times New Roman"/>
          <w:sz w:val="24"/>
          <w:szCs w:val="24"/>
          <w:lang w:eastAsia="en-US"/>
        </w:rPr>
        <w:t xml:space="preserve">smołowych. Istniejące zjazdy do posesji o nawierzchni betonowej, z kostki kamiennej, kostki betonowej oraz gruntowe. Droga klasy D </w:t>
      </w:r>
      <w:r w:rsidR="00852869" w:rsidRPr="00852869">
        <w:rPr>
          <w:rFonts w:ascii="Times New Roman" w:eastAsia="Calibri" w:hAnsi="Times New Roman" w:cs="Times New Roman"/>
          <w:sz w:val="24"/>
          <w:szCs w:val="24"/>
          <w:lang w:eastAsia="en-US"/>
        </w:rPr>
        <w:t>–</w:t>
      </w:r>
      <w:r w:rsidR="00A31614" w:rsidRPr="00A31614">
        <w:rPr>
          <w:rFonts w:ascii="Times New Roman" w:eastAsia="Calibri" w:hAnsi="Times New Roman" w:cs="Times New Roman"/>
          <w:sz w:val="24"/>
          <w:szCs w:val="24"/>
          <w:lang w:eastAsia="en-US"/>
        </w:rPr>
        <w:t xml:space="preserve"> przekrój</w:t>
      </w:r>
      <w:r w:rsidR="00852869" w:rsidRPr="00852869">
        <w:rPr>
          <w:rFonts w:ascii="Times New Roman" w:eastAsia="Calibri" w:hAnsi="Times New Roman" w:cs="Times New Roman"/>
          <w:sz w:val="24"/>
          <w:szCs w:val="24"/>
          <w:lang w:eastAsia="en-US"/>
        </w:rPr>
        <w:t xml:space="preserve"> 1/2.</w:t>
      </w:r>
    </w:p>
    <w:p w14:paraId="03C63335" w14:textId="77777777" w:rsidR="00852869" w:rsidRPr="00A31614" w:rsidRDefault="00852869" w:rsidP="00852869">
      <w:pPr>
        <w:autoSpaceDE w:val="0"/>
        <w:autoSpaceDN w:val="0"/>
        <w:adjustRightInd w:val="0"/>
        <w:spacing w:after="0" w:line="360" w:lineRule="auto"/>
        <w:jc w:val="both"/>
        <w:rPr>
          <w:rFonts w:ascii="Times New Roman" w:eastAsia="CIDFont+F3" w:hAnsi="Times New Roman" w:cs="Times New Roman"/>
          <w:sz w:val="24"/>
          <w:szCs w:val="24"/>
        </w:rPr>
      </w:pPr>
    </w:p>
    <w:p w14:paraId="72DFBC2C"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0" w:name="_Toc167730722"/>
      <w:r w:rsidRPr="00A31614">
        <w:rPr>
          <w:rFonts w:ascii="Times New Roman" w:eastAsia="MS Gothic" w:hAnsi="Times New Roman" w:cs="Times New Roman"/>
          <w:b/>
          <w:sz w:val="24"/>
          <w:szCs w:val="24"/>
          <w:lang w:eastAsia="en-US"/>
        </w:rPr>
        <w:t>Przekrój poprzeczy i podłużny.</w:t>
      </w:r>
      <w:bookmarkEnd w:id="0"/>
    </w:p>
    <w:p w14:paraId="0C42D521"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Istniejący przekrój poprzeczny drogi:</w:t>
      </w:r>
    </w:p>
    <w:p w14:paraId="7AF71140" w14:textId="77777777" w:rsidR="00A31614" w:rsidRPr="00A31614" w:rsidRDefault="00A31614" w:rsidP="00852869">
      <w:pPr>
        <w:numPr>
          <w:ilvl w:val="0"/>
          <w:numId w:val="21"/>
        </w:numPr>
        <w:spacing w:after="0" w:line="360" w:lineRule="auto"/>
        <w:ind w:left="1276" w:hanging="425"/>
        <w:jc w:val="both"/>
        <w:rPr>
          <w:rFonts w:ascii="Times New Roman" w:eastAsia="MS Mincho" w:hAnsi="Times New Roman" w:cs="Times New Roman"/>
          <w:sz w:val="24"/>
          <w:szCs w:val="24"/>
        </w:rPr>
      </w:pPr>
      <w:r w:rsidRPr="00A31614">
        <w:rPr>
          <w:rFonts w:ascii="Times New Roman" w:eastAsia="MS Mincho" w:hAnsi="Times New Roman" w:cs="Times New Roman"/>
          <w:sz w:val="24"/>
          <w:szCs w:val="24"/>
        </w:rPr>
        <w:t>przekrój poprzeczny dla odcinka drogi D 1/2 szerokość zmienna 3,0 - 5,0 m</w:t>
      </w:r>
    </w:p>
    <w:p w14:paraId="735DC247" w14:textId="77777777" w:rsidR="00A31614" w:rsidRPr="00A31614" w:rsidRDefault="00A31614" w:rsidP="00852869">
      <w:pPr>
        <w:numPr>
          <w:ilvl w:val="0"/>
          <w:numId w:val="21"/>
        </w:numPr>
        <w:spacing w:after="0" w:line="360" w:lineRule="auto"/>
        <w:ind w:left="1276" w:hanging="425"/>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nawierzchnia o przekroju drogowym z poboczami gruntowymi.</w:t>
      </w:r>
    </w:p>
    <w:p w14:paraId="6EF30BB6"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Istniejąca szerokość pasa drogowego jest zmienna w obrębie skrzyżowań.</w:t>
      </w:r>
    </w:p>
    <w:p w14:paraId="7D1530F0"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1" w:name="_Toc167730723"/>
      <w:r w:rsidRPr="00A31614">
        <w:rPr>
          <w:rFonts w:ascii="Times New Roman" w:eastAsia="MS Gothic" w:hAnsi="Times New Roman" w:cs="Times New Roman"/>
          <w:b/>
          <w:sz w:val="24"/>
          <w:szCs w:val="24"/>
          <w:lang w:eastAsia="en-US"/>
        </w:rPr>
        <w:t>Skrzyżowanie.</w:t>
      </w:r>
      <w:bookmarkEnd w:id="1"/>
    </w:p>
    <w:p w14:paraId="31034FB7" w14:textId="77777777" w:rsidR="00A31614" w:rsidRPr="00A31614" w:rsidRDefault="00A31614" w:rsidP="00852869">
      <w:pPr>
        <w:spacing w:after="0" w:line="360" w:lineRule="auto"/>
        <w:jc w:val="both"/>
        <w:rPr>
          <w:rFonts w:ascii="Times New Roman" w:eastAsia="Calibri" w:hAnsi="Times New Roman" w:cs="Times New Roman"/>
          <w:sz w:val="24"/>
          <w:szCs w:val="24"/>
        </w:rPr>
      </w:pPr>
      <w:r w:rsidRPr="00A31614">
        <w:rPr>
          <w:rFonts w:ascii="Times New Roman" w:eastAsia="Calibri" w:hAnsi="Times New Roman" w:cs="Times New Roman"/>
          <w:sz w:val="24"/>
          <w:szCs w:val="24"/>
          <w:lang w:eastAsia="en-US"/>
        </w:rPr>
        <w:t>W km 0+102,88 istniejące skrzyżowanie zwykłe – nie podlega przebudowie – dołączenie do istniejącej nawierzchni. W km 0+308,47 istniejące skrzyżowanie – przebudowa w etapie III i IV.</w:t>
      </w:r>
    </w:p>
    <w:p w14:paraId="6715E1F1"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2" w:name="_Toc167730725"/>
      <w:r w:rsidRPr="00A31614">
        <w:rPr>
          <w:rFonts w:ascii="Times New Roman" w:eastAsia="MS Gothic" w:hAnsi="Times New Roman" w:cs="Times New Roman"/>
          <w:b/>
          <w:sz w:val="24"/>
          <w:szCs w:val="24"/>
          <w:lang w:eastAsia="en-US"/>
        </w:rPr>
        <w:t>Projektowane parametry techniczne.</w:t>
      </w:r>
      <w:bookmarkEnd w:id="2"/>
    </w:p>
    <w:p w14:paraId="4D89B8CF" w14:textId="77777777" w:rsidR="00A31614" w:rsidRPr="00A31614" w:rsidRDefault="00A31614" w:rsidP="00852869">
      <w:pPr>
        <w:spacing w:after="0" w:line="360" w:lineRule="auto"/>
        <w:jc w:val="both"/>
        <w:rPr>
          <w:rFonts w:ascii="Times New Roman" w:eastAsia="Calibri" w:hAnsi="Times New Roman" w:cs="Times New Roman"/>
          <w:sz w:val="24"/>
          <w:szCs w:val="24"/>
        </w:rPr>
      </w:pPr>
      <w:r w:rsidRPr="00A31614">
        <w:rPr>
          <w:rFonts w:ascii="Times New Roman" w:eastAsia="Calibri" w:hAnsi="Times New Roman" w:cs="Times New Roman"/>
          <w:sz w:val="24"/>
          <w:szCs w:val="24"/>
        </w:rPr>
        <w:t>Przyjmuje się następujące parametry techniczne projektowanej przebudowy drogi w miejscowości Lublino na odcinku 0+070,00-0+3128,50:</w:t>
      </w:r>
    </w:p>
    <w:p w14:paraId="3783CA5F" w14:textId="77777777" w:rsidR="00A31614" w:rsidRPr="00A31614" w:rsidRDefault="00A31614" w:rsidP="00852869">
      <w:pPr>
        <w:numPr>
          <w:ilvl w:val="0"/>
          <w:numId w:val="22"/>
        </w:numPr>
        <w:spacing w:after="0" w:line="360" w:lineRule="auto"/>
        <w:ind w:left="1134" w:hanging="425"/>
        <w:contextualSpacing/>
        <w:jc w:val="both"/>
        <w:rPr>
          <w:rFonts w:ascii="Times New Roman" w:eastAsia="Calibri" w:hAnsi="Times New Roman" w:cs="Times New Roman"/>
          <w:sz w:val="24"/>
          <w:szCs w:val="24"/>
        </w:rPr>
      </w:pPr>
      <w:r w:rsidRPr="00A31614">
        <w:rPr>
          <w:rFonts w:ascii="Times New Roman" w:eastAsia="Calibri" w:hAnsi="Times New Roman" w:cs="Times New Roman"/>
          <w:sz w:val="24"/>
          <w:szCs w:val="24"/>
        </w:rPr>
        <w:t>klasa techniczna: D,</w:t>
      </w:r>
    </w:p>
    <w:p w14:paraId="55F76AF0" w14:textId="77777777" w:rsidR="00A31614" w:rsidRPr="00A31614" w:rsidRDefault="00A31614" w:rsidP="00852869">
      <w:pPr>
        <w:numPr>
          <w:ilvl w:val="0"/>
          <w:numId w:val="22"/>
        </w:numPr>
        <w:spacing w:after="0" w:line="360" w:lineRule="auto"/>
        <w:ind w:left="1134" w:hanging="425"/>
        <w:contextualSpacing/>
        <w:jc w:val="both"/>
        <w:rPr>
          <w:rFonts w:ascii="Times New Roman" w:eastAsia="Calibri" w:hAnsi="Times New Roman" w:cs="Times New Roman"/>
          <w:sz w:val="24"/>
          <w:szCs w:val="24"/>
        </w:rPr>
      </w:pPr>
      <w:r w:rsidRPr="00A31614">
        <w:rPr>
          <w:rFonts w:ascii="Times New Roman" w:eastAsia="Calibri" w:hAnsi="Times New Roman" w:cs="Times New Roman"/>
          <w:sz w:val="24"/>
          <w:szCs w:val="24"/>
        </w:rPr>
        <w:t xml:space="preserve">prędkość projektowa: </w:t>
      </w:r>
      <w:proofErr w:type="spellStart"/>
      <w:r w:rsidRPr="00A31614">
        <w:rPr>
          <w:rFonts w:ascii="Times New Roman" w:eastAsia="Calibri" w:hAnsi="Times New Roman" w:cs="Times New Roman"/>
          <w:sz w:val="24"/>
          <w:szCs w:val="24"/>
        </w:rPr>
        <w:t>Vp</w:t>
      </w:r>
      <w:proofErr w:type="spellEnd"/>
      <w:r w:rsidRPr="00A31614">
        <w:rPr>
          <w:rFonts w:ascii="Times New Roman" w:eastAsia="Calibri" w:hAnsi="Times New Roman" w:cs="Times New Roman"/>
          <w:sz w:val="24"/>
          <w:szCs w:val="24"/>
        </w:rPr>
        <w:t>=50km/h,</w:t>
      </w:r>
    </w:p>
    <w:p w14:paraId="0FCE5D85" w14:textId="77777777" w:rsidR="00A31614" w:rsidRPr="00A31614" w:rsidRDefault="00A31614" w:rsidP="00852869">
      <w:pPr>
        <w:numPr>
          <w:ilvl w:val="0"/>
          <w:numId w:val="22"/>
        </w:numPr>
        <w:spacing w:after="0" w:line="360" w:lineRule="auto"/>
        <w:ind w:left="1134" w:hanging="425"/>
        <w:contextualSpacing/>
        <w:jc w:val="both"/>
        <w:rPr>
          <w:rFonts w:ascii="Times New Roman" w:eastAsia="Calibri" w:hAnsi="Times New Roman" w:cs="Times New Roman"/>
          <w:sz w:val="24"/>
          <w:szCs w:val="24"/>
        </w:rPr>
      </w:pPr>
      <w:r w:rsidRPr="00A31614">
        <w:rPr>
          <w:rFonts w:ascii="Times New Roman" w:eastAsia="Calibri" w:hAnsi="Times New Roman" w:cs="Times New Roman"/>
          <w:sz w:val="24"/>
          <w:szCs w:val="24"/>
        </w:rPr>
        <w:t>szerokość pasa ruchu: 2,5m,</w:t>
      </w:r>
    </w:p>
    <w:p w14:paraId="7AE6731B" w14:textId="77777777" w:rsidR="00A31614" w:rsidRPr="00A31614" w:rsidRDefault="00A31614" w:rsidP="00852869">
      <w:pPr>
        <w:numPr>
          <w:ilvl w:val="0"/>
          <w:numId w:val="22"/>
        </w:numPr>
        <w:spacing w:after="0" w:line="360" w:lineRule="auto"/>
        <w:ind w:left="1134" w:hanging="425"/>
        <w:contextualSpacing/>
        <w:jc w:val="both"/>
        <w:rPr>
          <w:rFonts w:ascii="Times New Roman" w:eastAsia="Calibri" w:hAnsi="Times New Roman" w:cs="Times New Roman"/>
          <w:sz w:val="24"/>
          <w:szCs w:val="24"/>
        </w:rPr>
      </w:pPr>
      <w:r w:rsidRPr="00A31614">
        <w:rPr>
          <w:rFonts w:ascii="Times New Roman" w:eastAsia="Calibri" w:hAnsi="Times New Roman" w:cs="Times New Roman"/>
          <w:sz w:val="24"/>
          <w:szCs w:val="24"/>
        </w:rPr>
        <w:t>szerokość jezdni: 5,00m dla przekroju 1/2,</w:t>
      </w:r>
    </w:p>
    <w:p w14:paraId="75DAD10F" w14:textId="77777777" w:rsidR="00A31614" w:rsidRPr="00A31614" w:rsidRDefault="00A31614" w:rsidP="00852869">
      <w:pPr>
        <w:numPr>
          <w:ilvl w:val="0"/>
          <w:numId w:val="23"/>
        </w:numPr>
        <w:spacing w:after="0" w:line="360" w:lineRule="auto"/>
        <w:ind w:left="1134" w:hanging="425"/>
        <w:contextualSpacing/>
        <w:jc w:val="both"/>
        <w:rPr>
          <w:rFonts w:ascii="Times New Roman" w:eastAsia="Calibri" w:hAnsi="Times New Roman" w:cs="Times New Roman"/>
          <w:sz w:val="24"/>
          <w:szCs w:val="24"/>
        </w:rPr>
      </w:pPr>
      <w:r w:rsidRPr="00A31614">
        <w:rPr>
          <w:rFonts w:ascii="Times New Roman" w:eastAsia="Calibri" w:hAnsi="Times New Roman" w:cs="Times New Roman"/>
          <w:sz w:val="24"/>
          <w:szCs w:val="24"/>
        </w:rPr>
        <w:t>pobocza utwardzone: zewnętrzne 2x50cm,</w:t>
      </w:r>
    </w:p>
    <w:p w14:paraId="66932F32" w14:textId="77777777" w:rsidR="00A31614" w:rsidRPr="00A31614" w:rsidRDefault="00A31614" w:rsidP="00852869">
      <w:pPr>
        <w:numPr>
          <w:ilvl w:val="0"/>
          <w:numId w:val="23"/>
        </w:numPr>
        <w:spacing w:after="0" w:line="360" w:lineRule="auto"/>
        <w:ind w:left="1134" w:hanging="425"/>
        <w:contextualSpacing/>
        <w:jc w:val="both"/>
        <w:rPr>
          <w:rFonts w:ascii="Times New Roman" w:eastAsia="Calibri" w:hAnsi="Times New Roman" w:cs="Times New Roman"/>
          <w:sz w:val="24"/>
          <w:szCs w:val="24"/>
        </w:rPr>
      </w:pPr>
      <w:r w:rsidRPr="00A31614">
        <w:rPr>
          <w:rFonts w:ascii="Times New Roman" w:eastAsia="Calibri" w:hAnsi="Times New Roman" w:cs="Times New Roman"/>
          <w:sz w:val="24"/>
          <w:szCs w:val="24"/>
        </w:rPr>
        <w:t>największe projektowane pochylenie niwelety: proj. pochylenie niwelety jest odwzorowaniem stanu istniejącego,</w:t>
      </w:r>
    </w:p>
    <w:p w14:paraId="37869005" w14:textId="77777777" w:rsidR="00A31614" w:rsidRPr="00A31614" w:rsidRDefault="00A31614" w:rsidP="00852869">
      <w:pPr>
        <w:numPr>
          <w:ilvl w:val="0"/>
          <w:numId w:val="23"/>
        </w:numPr>
        <w:spacing w:after="0" w:line="360" w:lineRule="auto"/>
        <w:ind w:left="1134" w:hanging="425"/>
        <w:contextualSpacing/>
        <w:jc w:val="both"/>
        <w:rPr>
          <w:rFonts w:ascii="Times New Roman" w:eastAsia="Calibri" w:hAnsi="Times New Roman" w:cs="Times New Roman"/>
          <w:sz w:val="24"/>
          <w:szCs w:val="24"/>
        </w:rPr>
      </w:pPr>
      <w:r w:rsidRPr="00A31614">
        <w:rPr>
          <w:rFonts w:ascii="Times New Roman" w:eastAsia="Calibri" w:hAnsi="Times New Roman" w:cs="Times New Roman"/>
          <w:sz w:val="24"/>
          <w:szCs w:val="24"/>
        </w:rPr>
        <w:t>kategoria ruchu KR2.</w:t>
      </w:r>
    </w:p>
    <w:p w14:paraId="404FD726"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3" w:name="_Toc167730727"/>
      <w:r w:rsidRPr="00A31614">
        <w:rPr>
          <w:rFonts w:ascii="Times New Roman" w:eastAsia="MS Gothic" w:hAnsi="Times New Roman" w:cs="Times New Roman"/>
          <w:b/>
          <w:sz w:val="24"/>
          <w:szCs w:val="24"/>
          <w:lang w:eastAsia="en-US"/>
        </w:rPr>
        <w:lastRenderedPageBreak/>
        <w:t xml:space="preserve">Rozwiązania </w:t>
      </w:r>
      <w:proofErr w:type="spellStart"/>
      <w:r w:rsidRPr="00A31614">
        <w:rPr>
          <w:rFonts w:ascii="Times New Roman" w:eastAsia="MS Gothic" w:hAnsi="Times New Roman" w:cs="Times New Roman"/>
          <w:b/>
          <w:sz w:val="24"/>
          <w:szCs w:val="24"/>
          <w:lang w:eastAsia="en-US"/>
        </w:rPr>
        <w:t>konstrukcyjno</w:t>
      </w:r>
      <w:proofErr w:type="spellEnd"/>
      <w:r w:rsidRPr="00A31614">
        <w:rPr>
          <w:rFonts w:ascii="Times New Roman" w:eastAsia="MS Gothic" w:hAnsi="Times New Roman" w:cs="Times New Roman"/>
          <w:b/>
          <w:sz w:val="24"/>
          <w:szCs w:val="24"/>
          <w:lang w:eastAsia="en-US"/>
        </w:rPr>
        <w:t xml:space="preserve"> – materiałowe.</w:t>
      </w:r>
      <w:bookmarkEnd w:id="3"/>
    </w:p>
    <w:p w14:paraId="51FDA3A5" w14:textId="77777777" w:rsidR="00A31614" w:rsidRPr="00A31614" w:rsidRDefault="00A31614" w:rsidP="00852869">
      <w:pPr>
        <w:spacing w:after="0" w:line="360" w:lineRule="auto"/>
        <w:contextualSpacing/>
        <w:jc w:val="both"/>
        <w:rPr>
          <w:rFonts w:ascii="Times New Roman" w:eastAsia="Calibri" w:hAnsi="Times New Roman" w:cs="Times New Roman"/>
          <w:b/>
          <w:bCs/>
          <w:sz w:val="24"/>
          <w:szCs w:val="24"/>
          <w:lang w:eastAsia="en-US"/>
        </w:rPr>
      </w:pPr>
      <w:r w:rsidRPr="00A31614">
        <w:rPr>
          <w:rFonts w:ascii="Times New Roman" w:eastAsia="Calibri" w:hAnsi="Times New Roman" w:cs="Times New Roman"/>
          <w:b/>
          <w:bCs/>
          <w:sz w:val="24"/>
          <w:szCs w:val="24"/>
          <w:lang w:eastAsia="en-US"/>
        </w:rPr>
        <w:t>Konstrukcja nawierzchni jezdni.</w:t>
      </w:r>
    </w:p>
    <w:p w14:paraId="0A7BDECA" w14:textId="77777777" w:rsidR="00A31614" w:rsidRPr="00A31614" w:rsidRDefault="00A31614" w:rsidP="00852869">
      <w:pPr>
        <w:spacing w:after="0" w:line="360" w:lineRule="auto"/>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Konstrukcja jezdni zaprojektowana została na podstawie obliczeń natężenia ruchu. Na podstawie badań geologicznych obliczeń natężenia ruchu oraz zgodnie z wymaganiami Katalogu Typowych Konstrukcji Nawierzchni Podatnych i Półsztywnych przyjęto kategorię ruchu KR2.</w:t>
      </w:r>
    </w:p>
    <w:p w14:paraId="4D1EA9CC" w14:textId="77777777" w:rsidR="00A31614" w:rsidRPr="00A31614" w:rsidRDefault="00A31614" w:rsidP="00852869">
      <w:pPr>
        <w:spacing w:after="0" w:line="360" w:lineRule="auto"/>
        <w:jc w:val="both"/>
        <w:rPr>
          <w:rFonts w:ascii="Times New Roman" w:eastAsia="Calibri" w:hAnsi="Times New Roman" w:cs="Times New Roman"/>
          <w:sz w:val="24"/>
          <w:szCs w:val="24"/>
        </w:rPr>
      </w:pPr>
      <w:r w:rsidRPr="00A31614">
        <w:rPr>
          <w:rFonts w:ascii="Times New Roman" w:eastAsia="Calibri" w:hAnsi="Times New Roman" w:cs="Times New Roman"/>
          <w:sz w:val="24"/>
          <w:szCs w:val="24"/>
        </w:rPr>
        <w:t>Zaprojektowano nawierzchnię jezdni o szerokości 5,0m w przekroju 1/2 na odcinku:</w:t>
      </w:r>
    </w:p>
    <w:p w14:paraId="2C64DCB7" w14:textId="77777777" w:rsidR="00A31614" w:rsidRPr="00A31614" w:rsidRDefault="00A31614" w:rsidP="00852869">
      <w:pPr>
        <w:numPr>
          <w:ilvl w:val="0"/>
          <w:numId w:val="24"/>
        </w:numPr>
        <w:spacing w:after="0" w:line="360" w:lineRule="auto"/>
        <w:ind w:left="1276" w:hanging="436"/>
        <w:contextualSpacing/>
        <w:jc w:val="both"/>
        <w:rPr>
          <w:rFonts w:ascii="Times New Roman" w:eastAsia="Calibri" w:hAnsi="Times New Roman" w:cs="Times New Roman"/>
          <w:sz w:val="24"/>
          <w:szCs w:val="24"/>
        </w:rPr>
      </w:pPr>
      <w:r w:rsidRPr="00A31614">
        <w:rPr>
          <w:rFonts w:ascii="Times New Roman" w:eastAsia="Calibri" w:hAnsi="Times New Roman" w:cs="Times New Roman"/>
          <w:sz w:val="24"/>
          <w:szCs w:val="24"/>
        </w:rPr>
        <w:t>od 0+070,00 do 0+318,50 pobocza gruntowe.</w:t>
      </w:r>
    </w:p>
    <w:p w14:paraId="347417A5"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4" w:name="_Toc167730728"/>
      <w:r w:rsidRPr="00A31614">
        <w:rPr>
          <w:rFonts w:ascii="Times New Roman" w:eastAsia="MS Gothic" w:hAnsi="Times New Roman" w:cs="Times New Roman"/>
          <w:b/>
          <w:sz w:val="24"/>
          <w:szCs w:val="24"/>
          <w:lang w:eastAsia="en-US"/>
        </w:rPr>
        <w:t>Założenia przyjęte do projektowania konstrukcji nawierzchni</w:t>
      </w:r>
      <w:bookmarkEnd w:id="4"/>
    </w:p>
    <w:p w14:paraId="64BBF380"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Projekt konstrukcji nawierzchni i warstwy ulepszonego podłoża gruntowego opracowano na podstawie Katalogu Typowych Konstrukcji Nawierzchni Podatnych I Półsztywnych.</w:t>
      </w:r>
    </w:p>
    <w:p w14:paraId="1979582F"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Na podstawie wykonanych badań i obliczeń zgodnie z wymaganiami katalogu przyjęto kategorię ruchu KR2.</w:t>
      </w:r>
    </w:p>
    <w:p w14:paraId="5F38BF04" w14:textId="77777777" w:rsidR="00A31614" w:rsidRPr="00A31614" w:rsidRDefault="00A31614" w:rsidP="00852869">
      <w:pPr>
        <w:spacing w:after="0" w:line="360" w:lineRule="auto"/>
        <w:contextualSpacing/>
        <w:jc w:val="both"/>
        <w:rPr>
          <w:rFonts w:ascii="Times New Roman" w:eastAsia="Calibri" w:hAnsi="Times New Roman" w:cs="Times New Roman"/>
          <w:color w:val="000000"/>
          <w:sz w:val="24"/>
          <w:szCs w:val="24"/>
          <w:u w:val="single"/>
          <w:lang w:eastAsia="en-US"/>
        </w:rPr>
      </w:pPr>
      <w:r w:rsidRPr="00A31614">
        <w:rPr>
          <w:rFonts w:ascii="Times New Roman" w:eastAsia="Calibri" w:hAnsi="Times New Roman" w:cs="Times New Roman"/>
          <w:color w:val="000000"/>
          <w:sz w:val="24"/>
          <w:szCs w:val="24"/>
          <w:u w:val="single"/>
          <w:lang w:eastAsia="en-US"/>
        </w:rPr>
        <w:t>Zebrano dane wejściowych do projektowania, dotyczących:</w:t>
      </w:r>
    </w:p>
    <w:p w14:paraId="1F04E248" w14:textId="77777777" w:rsidR="00A31614" w:rsidRPr="00A31614" w:rsidRDefault="00A31614" w:rsidP="00852869">
      <w:pPr>
        <w:numPr>
          <w:ilvl w:val="0"/>
          <w:numId w:val="16"/>
        </w:numPr>
        <w:spacing w:after="0" w:line="360" w:lineRule="auto"/>
        <w:ind w:left="709" w:hanging="425"/>
        <w:contextualSpacing/>
        <w:jc w:val="both"/>
        <w:rPr>
          <w:rFonts w:ascii="Times New Roman" w:eastAsia="Calibri" w:hAnsi="Times New Roman" w:cs="Times New Roman"/>
          <w:color w:val="000000"/>
          <w:sz w:val="24"/>
          <w:szCs w:val="24"/>
          <w:lang w:eastAsia="en-US"/>
        </w:rPr>
      </w:pPr>
      <w:r w:rsidRPr="00A31614">
        <w:rPr>
          <w:rFonts w:ascii="Times New Roman" w:eastAsia="Calibri" w:hAnsi="Times New Roman" w:cs="Times New Roman"/>
          <w:color w:val="000000"/>
          <w:sz w:val="24"/>
          <w:szCs w:val="24"/>
          <w:lang w:eastAsia="en-US"/>
        </w:rPr>
        <w:t xml:space="preserve">warunków geotechnicznych – opracowano opinię geotechniczną, </w:t>
      </w:r>
    </w:p>
    <w:p w14:paraId="1969B83A" w14:textId="77777777" w:rsidR="00A31614" w:rsidRPr="00A31614" w:rsidRDefault="00A31614" w:rsidP="00852869">
      <w:pPr>
        <w:numPr>
          <w:ilvl w:val="0"/>
          <w:numId w:val="16"/>
        </w:numPr>
        <w:spacing w:after="0" w:line="360" w:lineRule="auto"/>
        <w:ind w:left="709" w:hanging="425"/>
        <w:contextualSpacing/>
        <w:jc w:val="both"/>
        <w:rPr>
          <w:rFonts w:ascii="Times New Roman" w:eastAsia="Calibri" w:hAnsi="Times New Roman" w:cs="Times New Roman"/>
          <w:color w:val="000000"/>
          <w:sz w:val="24"/>
          <w:szCs w:val="24"/>
          <w:lang w:eastAsia="en-US"/>
        </w:rPr>
      </w:pPr>
      <w:r w:rsidRPr="00A31614">
        <w:rPr>
          <w:rFonts w:ascii="Times New Roman" w:eastAsia="Calibri" w:hAnsi="Times New Roman" w:cs="Times New Roman"/>
          <w:color w:val="000000"/>
          <w:sz w:val="24"/>
          <w:szCs w:val="24"/>
          <w:lang w:eastAsia="en-US"/>
        </w:rPr>
        <w:t>obciążenia drogi ruchem.</w:t>
      </w:r>
    </w:p>
    <w:p w14:paraId="07CD5B45" w14:textId="77777777" w:rsidR="00A31614" w:rsidRPr="00A31614" w:rsidRDefault="00A31614" w:rsidP="00852869">
      <w:pPr>
        <w:spacing w:after="0" w:line="360" w:lineRule="auto"/>
        <w:contextualSpacing/>
        <w:jc w:val="both"/>
        <w:rPr>
          <w:rFonts w:ascii="Times New Roman" w:eastAsia="Calibri" w:hAnsi="Times New Roman" w:cs="Times New Roman"/>
          <w:color w:val="000000"/>
          <w:sz w:val="24"/>
          <w:szCs w:val="24"/>
          <w:u w:val="single"/>
          <w:lang w:eastAsia="en-US"/>
        </w:rPr>
      </w:pPr>
      <w:r w:rsidRPr="00A31614">
        <w:rPr>
          <w:rFonts w:ascii="Times New Roman" w:eastAsia="Calibri" w:hAnsi="Times New Roman" w:cs="Times New Roman"/>
          <w:color w:val="000000"/>
          <w:sz w:val="24"/>
          <w:szCs w:val="24"/>
          <w:u w:val="single"/>
          <w:lang w:eastAsia="en-US"/>
        </w:rPr>
        <w:t>Ustalenie warunków gruntowo-wodnych i grupy nośności podłoża gruntowego nawierzchni.</w:t>
      </w:r>
    </w:p>
    <w:p w14:paraId="6C332381" w14:textId="77777777" w:rsidR="00A31614" w:rsidRPr="00A31614" w:rsidRDefault="00A31614" w:rsidP="00852869">
      <w:pPr>
        <w:spacing w:after="0" w:line="360" w:lineRule="auto"/>
        <w:ind w:left="284"/>
        <w:jc w:val="both"/>
        <w:rPr>
          <w:rFonts w:ascii="Times New Roman" w:eastAsia="Calibri" w:hAnsi="Times New Roman" w:cs="Times New Roman"/>
          <w:color w:val="000000"/>
          <w:sz w:val="24"/>
          <w:szCs w:val="24"/>
          <w:lang w:eastAsia="en-US"/>
        </w:rPr>
      </w:pPr>
      <w:r w:rsidRPr="00A31614">
        <w:rPr>
          <w:rFonts w:ascii="Times New Roman" w:eastAsia="Calibri" w:hAnsi="Times New Roman" w:cs="Times New Roman"/>
          <w:color w:val="000000"/>
          <w:sz w:val="24"/>
          <w:szCs w:val="24"/>
          <w:lang w:eastAsia="en-US"/>
        </w:rPr>
        <w:t>Do głębokości 2,0 m p.p.t nie odwiercono wody gruntowej w związku z czym warunki wodne należy uznać za dobre. Uwzględniając zalegające grunty w podłożu gruntowym oraz poziom wód gruntowych. Podłoże gruntowe należy zaliczyć do grupy nośności G1.</w:t>
      </w:r>
    </w:p>
    <w:p w14:paraId="00E609F9" w14:textId="77777777" w:rsidR="00A31614" w:rsidRPr="00A31614" w:rsidRDefault="00A31614" w:rsidP="00852869">
      <w:pPr>
        <w:spacing w:after="0" w:line="360" w:lineRule="auto"/>
        <w:contextualSpacing/>
        <w:jc w:val="both"/>
        <w:rPr>
          <w:rFonts w:ascii="Times New Roman" w:eastAsia="Calibri" w:hAnsi="Times New Roman" w:cs="Times New Roman"/>
          <w:color w:val="000000"/>
          <w:sz w:val="24"/>
          <w:szCs w:val="24"/>
          <w:u w:val="single"/>
          <w:lang w:eastAsia="en-US"/>
        </w:rPr>
      </w:pPr>
      <w:r w:rsidRPr="00A31614">
        <w:rPr>
          <w:rFonts w:ascii="Times New Roman" w:eastAsia="Calibri" w:hAnsi="Times New Roman" w:cs="Times New Roman"/>
          <w:color w:val="000000"/>
          <w:sz w:val="24"/>
          <w:szCs w:val="24"/>
          <w:u w:val="single"/>
          <w:lang w:eastAsia="en-US"/>
        </w:rPr>
        <w:t>Wybór typowego rozwiązania warstwy ulepszonego podłoża oraz dolnych warstw konstrukcji nawierzchni w zależności od kategorii ruchu oraz rodzaju materiałów przyjętych do poszczególnych warstw.</w:t>
      </w:r>
    </w:p>
    <w:p w14:paraId="14193D8C" w14:textId="77777777" w:rsidR="00A31614" w:rsidRPr="00A31614" w:rsidRDefault="00A31614" w:rsidP="00852869">
      <w:pPr>
        <w:spacing w:after="0" w:line="360" w:lineRule="auto"/>
        <w:jc w:val="both"/>
        <w:rPr>
          <w:rFonts w:ascii="Times New Roman" w:eastAsia="Calibri" w:hAnsi="Times New Roman" w:cs="Times New Roman"/>
          <w:color w:val="000000"/>
          <w:sz w:val="24"/>
          <w:szCs w:val="24"/>
          <w:lang w:eastAsia="en-US"/>
        </w:rPr>
      </w:pPr>
      <w:r w:rsidRPr="00A31614">
        <w:rPr>
          <w:rFonts w:ascii="Times New Roman" w:eastAsia="Calibri" w:hAnsi="Times New Roman" w:cs="Times New Roman"/>
          <w:color w:val="000000"/>
          <w:sz w:val="24"/>
          <w:szCs w:val="24"/>
          <w:lang w:eastAsia="en-US"/>
        </w:rPr>
        <w:t>Przyjęto rozwiązanie z katalogu dla kategorii KR2, zakładając grupę nośności G2, ze względu na występujące przewarstwienia:</w:t>
      </w:r>
    </w:p>
    <w:p w14:paraId="275ADE28" w14:textId="77777777" w:rsidR="00A31614" w:rsidRPr="00A31614" w:rsidRDefault="00A31614" w:rsidP="00852869">
      <w:pPr>
        <w:numPr>
          <w:ilvl w:val="0"/>
          <w:numId w:val="17"/>
        </w:numPr>
        <w:spacing w:after="0" w:line="360" w:lineRule="auto"/>
        <w:ind w:left="709" w:hanging="425"/>
        <w:contextualSpacing/>
        <w:jc w:val="both"/>
        <w:rPr>
          <w:rFonts w:ascii="Times New Roman" w:eastAsia="Calibri" w:hAnsi="Times New Roman" w:cs="Times New Roman"/>
          <w:color w:val="000000"/>
          <w:sz w:val="24"/>
          <w:szCs w:val="24"/>
          <w:lang w:eastAsia="en-US"/>
        </w:rPr>
      </w:pPr>
      <w:r w:rsidRPr="00A31614">
        <w:rPr>
          <w:rFonts w:ascii="Times New Roman" w:eastAsia="Calibri" w:hAnsi="Times New Roman" w:cs="Times New Roman"/>
          <w:color w:val="000000"/>
          <w:sz w:val="24"/>
          <w:szCs w:val="24"/>
          <w:lang w:eastAsia="en-US"/>
        </w:rPr>
        <w:t>podbudowa zasadnicza z mieszanki niezwiązanej C90/3 gr. 20,0cm</w:t>
      </w:r>
    </w:p>
    <w:p w14:paraId="64096FA5" w14:textId="77777777" w:rsidR="00A31614" w:rsidRPr="00A31614" w:rsidRDefault="00A31614" w:rsidP="00852869">
      <w:pPr>
        <w:numPr>
          <w:ilvl w:val="0"/>
          <w:numId w:val="17"/>
        </w:numPr>
        <w:spacing w:after="0" w:line="360" w:lineRule="auto"/>
        <w:ind w:left="709" w:hanging="425"/>
        <w:contextualSpacing/>
        <w:jc w:val="both"/>
        <w:rPr>
          <w:rFonts w:ascii="Times New Roman" w:eastAsia="Calibri" w:hAnsi="Times New Roman" w:cs="Times New Roman"/>
          <w:color w:val="000000"/>
          <w:sz w:val="24"/>
          <w:szCs w:val="24"/>
          <w:lang w:eastAsia="en-US"/>
        </w:rPr>
      </w:pPr>
      <w:r w:rsidRPr="00A31614">
        <w:rPr>
          <w:rFonts w:ascii="Times New Roman" w:eastAsia="Calibri" w:hAnsi="Times New Roman" w:cs="Times New Roman"/>
          <w:color w:val="000000"/>
          <w:sz w:val="24"/>
          <w:szCs w:val="24"/>
          <w:lang w:eastAsia="en-US"/>
        </w:rPr>
        <w:t>podbudowa pomocnicza z mieszanki związanej spoiwem hydraulicznym lub gruntu stabilizowanego spoiwem hydraulicznym, gr.10cm – dla konstrukcji poszerzeń.</w:t>
      </w:r>
    </w:p>
    <w:p w14:paraId="590CFD98" w14:textId="77777777" w:rsidR="00A31614" w:rsidRPr="00A31614" w:rsidRDefault="00A31614" w:rsidP="00852869">
      <w:pPr>
        <w:spacing w:after="0" w:line="360" w:lineRule="auto"/>
        <w:contextualSpacing/>
        <w:jc w:val="both"/>
        <w:rPr>
          <w:rFonts w:ascii="Times New Roman" w:eastAsia="Calibri" w:hAnsi="Times New Roman" w:cs="Times New Roman"/>
          <w:color w:val="000000"/>
          <w:sz w:val="24"/>
          <w:szCs w:val="24"/>
          <w:u w:val="single"/>
          <w:lang w:eastAsia="en-US"/>
        </w:rPr>
      </w:pPr>
      <w:r w:rsidRPr="00A31614">
        <w:rPr>
          <w:rFonts w:ascii="Times New Roman" w:eastAsia="Calibri" w:hAnsi="Times New Roman" w:cs="Times New Roman"/>
          <w:color w:val="000000"/>
          <w:sz w:val="24"/>
          <w:szCs w:val="24"/>
          <w:u w:val="single"/>
          <w:lang w:eastAsia="en-US"/>
        </w:rPr>
        <w:t>Wybór typowego rozwiązania górnych warstw konstrukcji nawierzchni w zależności od projektowanego materiału podbudowy zasadniczej.</w:t>
      </w:r>
    </w:p>
    <w:p w14:paraId="6269A0E9" w14:textId="77777777" w:rsidR="00A31614" w:rsidRPr="00A31614" w:rsidRDefault="00A31614" w:rsidP="00852869">
      <w:pPr>
        <w:spacing w:after="0" w:line="360" w:lineRule="auto"/>
        <w:jc w:val="both"/>
        <w:rPr>
          <w:rFonts w:ascii="Times New Roman" w:eastAsia="Calibri" w:hAnsi="Times New Roman" w:cs="Times New Roman"/>
          <w:color w:val="000000"/>
          <w:sz w:val="24"/>
          <w:szCs w:val="24"/>
          <w:lang w:eastAsia="en-US"/>
        </w:rPr>
      </w:pPr>
      <w:r w:rsidRPr="00A31614">
        <w:rPr>
          <w:rFonts w:ascii="Times New Roman" w:eastAsia="Calibri" w:hAnsi="Times New Roman" w:cs="Times New Roman"/>
          <w:color w:val="000000"/>
          <w:sz w:val="24"/>
          <w:szCs w:val="24"/>
          <w:lang w:eastAsia="en-US"/>
        </w:rPr>
        <w:t>Dla kategorii ruchu KR2, ze względu na założenie projektowe o zastosowaniu nawierzchni podatnej wybrano Typ A1 i przyjęto następujący układ warstw:</w:t>
      </w:r>
    </w:p>
    <w:p w14:paraId="094EEBAE" w14:textId="77777777" w:rsidR="00A31614" w:rsidRPr="00A31614" w:rsidRDefault="00A31614" w:rsidP="00852869">
      <w:pPr>
        <w:numPr>
          <w:ilvl w:val="0"/>
          <w:numId w:val="18"/>
        </w:numPr>
        <w:spacing w:after="0" w:line="360" w:lineRule="auto"/>
        <w:ind w:left="709" w:hanging="425"/>
        <w:contextualSpacing/>
        <w:jc w:val="both"/>
        <w:rPr>
          <w:rFonts w:ascii="Times New Roman" w:eastAsia="Calibri" w:hAnsi="Times New Roman" w:cs="Times New Roman"/>
          <w:color w:val="000000"/>
          <w:sz w:val="24"/>
          <w:szCs w:val="24"/>
          <w:lang w:eastAsia="en-US"/>
        </w:rPr>
      </w:pPr>
      <w:r w:rsidRPr="00A31614">
        <w:rPr>
          <w:rFonts w:ascii="Times New Roman" w:eastAsia="Calibri" w:hAnsi="Times New Roman" w:cs="Times New Roman"/>
          <w:color w:val="000000"/>
          <w:sz w:val="24"/>
          <w:szCs w:val="24"/>
          <w:lang w:eastAsia="en-US"/>
        </w:rPr>
        <w:t>warstwa ścieralna – SMA11</w:t>
      </w:r>
      <w:r w:rsidRPr="00A31614">
        <w:rPr>
          <w:rFonts w:ascii="Times New Roman" w:eastAsia="Calibri" w:hAnsi="Times New Roman" w:cs="Times New Roman"/>
          <w:color w:val="000000"/>
          <w:sz w:val="24"/>
          <w:szCs w:val="24"/>
          <w:lang w:eastAsia="en-US"/>
        </w:rPr>
        <w:tab/>
      </w:r>
      <w:r w:rsidRPr="00A31614">
        <w:rPr>
          <w:rFonts w:ascii="Times New Roman" w:eastAsia="Calibri" w:hAnsi="Times New Roman" w:cs="Times New Roman"/>
          <w:color w:val="000000"/>
          <w:sz w:val="24"/>
          <w:szCs w:val="24"/>
          <w:lang w:eastAsia="en-US"/>
        </w:rPr>
        <w:tab/>
      </w:r>
      <w:r w:rsidRPr="00A31614">
        <w:rPr>
          <w:rFonts w:ascii="Times New Roman" w:eastAsia="Calibri" w:hAnsi="Times New Roman" w:cs="Times New Roman"/>
          <w:color w:val="000000"/>
          <w:sz w:val="24"/>
          <w:szCs w:val="24"/>
          <w:lang w:eastAsia="en-US"/>
        </w:rPr>
        <w:tab/>
      </w:r>
      <w:r w:rsidRPr="00A31614">
        <w:rPr>
          <w:rFonts w:ascii="Times New Roman" w:eastAsia="Calibri" w:hAnsi="Times New Roman" w:cs="Times New Roman"/>
          <w:color w:val="000000"/>
          <w:sz w:val="24"/>
          <w:szCs w:val="24"/>
          <w:lang w:eastAsia="en-US"/>
        </w:rPr>
        <w:tab/>
      </w:r>
      <w:r w:rsidRPr="00A31614">
        <w:rPr>
          <w:rFonts w:ascii="Times New Roman" w:eastAsia="Calibri" w:hAnsi="Times New Roman" w:cs="Times New Roman"/>
          <w:color w:val="000000"/>
          <w:sz w:val="24"/>
          <w:szCs w:val="24"/>
          <w:lang w:eastAsia="en-US"/>
        </w:rPr>
        <w:tab/>
        <w:t xml:space="preserve">gr. 4,0 cm </w:t>
      </w:r>
    </w:p>
    <w:p w14:paraId="33B42E4E" w14:textId="77777777" w:rsidR="00A31614" w:rsidRPr="00A31614" w:rsidRDefault="00A31614" w:rsidP="00852869">
      <w:pPr>
        <w:numPr>
          <w:ilvl w:val="0"/>
          <w:numId w:val="18"/>
        </w:numPr>
        <w:spacing w:after="0" w:line="360" w:lineRule="auto"/>
        <w:ind w:left="709" w:hanging="425"/>
        <w:contextualSpacing/>
        <w:jc w:val="both"/>
        <w:rPr>
          <w:rFonts w:ascii="Times New Roman" w:eastAsia="Calibri" w:hAnsi="Times New Roman" w:cs="Times New Roman"/>
          <w:color w:val="000000"/>
          <w:sz w:val="24"/>
          <w:szCs w:val="24"/>
          <w:lang w:eastAsia="en-US"/>
        </w:rPr>
      </w:pPr>
      <w:r w:rsidRPr="00A31614">
        <w:rPr>
          <w:rFonts w:ascii="Times New Roman" w:eastAsia="Calibri" w:hAnsi="Times New Roman" w:cs="Times New Roman"/>
          <w:color w:val="000000"/>
          <w:sz w:val="24"/>
          <w:szCs w:val="24"/>
          <w:lang w:eastAsia="en-US"/>
        </w:rPr>
        <w:lastRenderedPageBreak/>
        <w:t xml:space="preserve">warstwa wiążąca – beton asfaltowy AC16W </w:t>
      </w:r>
      <w:r w:rsidRPr="00A31614">
        <w:rPr>
          <w:rFonts w:ascii="Times New Roman" w:eastAsia="Calibri" w:hAnsi="Times New Roman" w:cs="Times New Roman"/>
          <w:color w:val="000000"/>
          <w:sz w:val="24"/>
          <w:szCs w:val="24"/>
          <w:lang w:eastAsia="en-US"/>
        </w:rPr>
        <w:tab/>
      </w:r>
      <w:r w:rsidRPr="00A31614">
        <w:rPr>
          <w:rFonts w:ascii="Times New Roman" w:eastAsia="Calibri" w:hAnsi="Times New Roman" w:cs="Times New Roman"/>
          <w:color w:val="000000"/>
          <w:sz w:val="24"/>
          <w:szCs w:val="24"/>
          <w:lang w:eastAsia="en-US"/>
        </w:rPr>
        <w:tab/>
      </w:r>
      <w:r w:rsidRPr="00A31614">
        <w:rPr>
          <w:rFonts w:ascii="Times New Roman" w:eastAsia="Calibri" w:hAnsi="Times New Roman" w:cs="Times New Roman"/>
          <w:color w:val="000000"/>
          <w:sz w:val="24"/>
          <w:szCs w:val="24"/>
          <w:lang w:eastAsia="en-US"/>
        </w:rPr>
        <w:tab/>
        <w:t>gr. 8,0 cm</w:t>
      </w:r>
    </w:p>
    <w:p w14:paraId="226133BD" w14:textId="77777777" w:rsidR="00A31614" w:rsidRPr="00A31614" w:rsidRDefault="00A31614" w:rsidP="00852869">
      <w:pPr>
        <w:numPr>
          <w:ilvl w:val="0"/>
          <w:numId w:val="18"/>
        </w:numPr>
        <w:spacing w:after="0" w:line="360" w:lineRule="auto"/>
        <w:ind w:left="709" w:hanging="425"/>
        <w:contextualSpacing/>
        <w:jc w:val="both"/>
        <w:rPr>
          <w:rFonts w:ascii="Times New Roman" w:eastAsia="Calibri" w:hAnsi="Times New Roman" w:cs="Times New Roman"/>
          <w:color w:val="000000"/>
          <w:sz w:val="24"/>
          <w:szCs w:val="24"/>
          <w:lang w:eastAsia="en-US"/>
        </w:rPr>
      </w:pPr>
      <w:r w:rsidRPr="00A31614">
        <w:rPr>
          <w:rFonts w:ascii="Times New Roman" w:eastAsia="Calibri" w:hAnsi="Times New Roman" w:cs="Times New Roman"/>
          <w:color w:val="000000"/>
          <w:sz w:val="24"/>
          <w:szCs w:val="24"/>
          <w:lang w:eastAsia="en-US"/>
        </w:rPr>
        <w:t>podłoże istniejące.</w:t>
      </w:r>
    </w:p>
    <w:p w14:paraId="060AA57E"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5" w:name="_Toc167730729"/>
      <w:r w:rsidRPr="00A31614">
        <w:rPr>
          <w:rFonts w:ascii="Times New Roman" w:eastAsia="MS Gothic" w:hAnsi="Times New Roman" w:cs="Times New Roman"/>
          <w:b/>
          <w:sz w:val="24"/>
          <w:szCs w:val="24"/>
          <w:lang w:eastAsia="en-US"/>
        </w:rPr>
        <w:t>Zaprojektowana konstrukcja nawierzchni jezdni.</w:t>
      </w:r>
      <w:bookmarkEnd w:id="5"/>
    </w:p>
    <w:p w14:paraId="617B7F5B" w14:textId="77777777" w:rsidR="00A31614" w:rsidRPr="00A31614" w:rsidRDefault="00A31614" w:rsidP="00852869">
      <w:pPr>
        <w:tabs>
          <w:tab w:val="left" w:pos="426"/>
        </w:tabs>
        <w:spacing w:after="0" w:line="360" w:lineRule="auto"/>
        <w:jc w:val="both"/>
        <w:rPr>
          <w:rFonts w:ascii="Times New Roman" w:eastAsia="Calibri" w:hAnsi="Times New Roman" w:cs="Times New Roman"/>
          <w:b/>
          <w:i/>
          <w:sz w:val="24"/>
          <w:szCs w:val="24"/>
          <w:lang w:eastAsia="en-US"/>
        </w:rPr>
      </w:pPr>
      <w:r w:rsidRPr="00A31614">
        <w:rPr>
          <w:rFonts w:ascii="Times New Roman" w:eastAsia="Calibri" w:hAnsi="Times New Roman" w:cs="Times New Roman"/>
          <w:b/>
          <w:i/>
          <w:sz w:val="24"/>
          <w:szCs w:val="24"/>
          <w:lang w:eastAsia="en-US"/>
        </w:rPr>
        <w:t>Projektowana konstrukcja nawierzchni jezdni dla kategorii ruchu KR2 0+070,00 – 0+318,50:</w:t>
      </w:r>
    </w:p>
    <w:p w14:paraId="59D1A2D2" w14:textId="77777777" w:rsidR="00A31614" w:rsidRPr="00A31614" w:rsidRDefault="00A31614" w:rsidP="00852869">
      <w:pPr>
        <w:numPr>
          <w:ilvl w:val="0"/>
          <w:numId w:val="9"/>
        </w:numPr>
        <w:tabs>
          <w:tab w:val="left" w:pos="426"/>
        </w:tabs>
        <w:spacing w:after="0" w:line="360" w:lineRule="auto"/>
        <w:ind w:left="851"/>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warstwa ścieralna – beton asfaltowy AC11S </w:t>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t xml:space="preserve">gr. 4,0 cm </w:t>
      </w:r>
    </w:p>
    <w:p w14:paraId="5A60272E" w14:textId="77777777" w:rsidR="00A31614" w:rsidRPr="00A31614" w:rsidRDefault="00A31614" w:rsidP="00852869">
      <w:pPr>
        <w:numPr>
          <w:ilvl w:val="0"/>
          <w:numId w:val="9"/>
        </w:numPr>
        <w:tabs>
          <w:tab w:val="left" w:pos="426"/>
        </w:tabs>
        <w:spacing w:after="0" w:line="360" w:lineRule="auto"/>
        <w:ind w:left="851"/>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warstwa wyrównawcza – beton asfaltowy AC16W </w:t>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t>śr. gr. 6,0 cm</w:t>
      </w:r>
    </w:p>
    <w:p w14:paraId="35CC0832" w14:textId="77777777" w:rsidR="00A31614" w:rsidRPr="00A31614" w:rsidRDefault="00A31614" w:rsidP="00852869">
      <w:pPr>
        <w:numPr>
          <w:ilvl w:val="0"/>
          <w:numId w:val="9"/>
        </w:numPr>
        <w:tabs>
          <w:tab w:val="left" w:pos="426"/>
        </w:tabs>
        <w:spacing w:after="0" w:line="360" w:lineRule="auto"/>
        <w:ind w:left="851"/>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uzupełnienie ubytków w istniejącej nawierzchni</w:t>
      </w:r>
    </w:p>
    <w:p w14:paraId="6F6342FF" w14:textId="77777777" w:rsidR="00A31614" w:rsidRPr="00A31614" w:rsidRDefault="00A31614" w:rsidP="00852869">
      <w:pPr>
        <w:numPr>
          <w:ilvl w:val="0"/>
          <w:numId w:val="9"/>
        </w:numPr>
        <w:tabs>
          <w:tab w:val="left" w:pos="426"/>
        </w:tabs>
        <w:spacing w:after="0" w:line="360" w:lineRule="auto"/>
        <w:ind w:left="851"/>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Jako podbudowa - istniejąca nawierzchnia</w:t>
      </w:r>
    </w:p>
    <w:p w14:paraId="4E0E32DD" w14:textId="77777777" w:rsidR="00A31614" w:rsidRPr="00A31614" w:rsidRDefault="00A31614" w:rsidP="00852869">
      <w:pPr>
        <w:spacing w:after="0" w:line="360" w:lineRule="auto"/>
        <w:ind w:left="851"/>
        <w:jc w:val="both"/>
        <w:rPr>
          <w:rFonts w:ascii="Times New Roman" w:eastAsia="Calibri" w:hAnsi="Times New Roman" w:cs="Times New Roman"/>
          <w:b/>
          <w:sz w:val="24"/>
          <w:szCs w:val="24"/>
          <w:lang w:eastAsia="en-US"/>
        </w:rPr>
      </w:pP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t>RAZEM gr. 10 cm</w:t>
      </w:r>
    </w:p>
    <w:p w14:paraId="11C21670" w14:textId="77777777" w:rsidR="00A31614" w:rsidRPr="00A31614" w:rsidRDefault="00A31614" w:rsidP="00852869">
      <w:pPr>
        <w:tabs>
          <w:tab w:val="left" w:pos="426"/>
        </w:tabs>
        <w:spacing w:after="0" w:line="360" w:lineRule="auto"/>
        <w:jc w:val="both"/>
        <w:rPr>
          <w:rFonts w:ascii="Times New Roman" w:eastAsia="Calibri" w:hAnsi="Times New Roman" w:cs="Times New Roman"/>
          <w:b/>
          <w:i/>
          <w:sz w:val="24"/>
          <w:szCs w:val="24"/>
          <w:lang w:eastAsia="en-US"/>
        </w:rPr>
      </w:pPr>
      <w:r w:rsidRPr="00A31614">
        <w:rPr>
          <w:rFonts w:ascii="Times New Roman" w:eastAsia="Calibri" w:hAnsi="Times New Roman" w:cs="Times New Roman"/>
          <w:b/>
          <w:i/>
          <w:sz w:val="24"/>
          <w:szCs w:val="24"/>
          <w:lang w:eastAsia="en-US"/>
        </w:rPr>
        <w:t>Projektowana konstrukcja poszerzeń nawierzchni (tożsamo po wykonaniu sieci kanalizacji):</w:t>
      </w:r>
    </w:p>
    <w:p w14:paraId="5DE38B78" w14:textId="73A652FA" w:rsidR="00A31614" w:rsidRPr="00A31614" w:rsidRDefault="00A31614" w:rsidP="00852869">
      <w:pPr>
        <w:numPr>
          <w:ilvl w:val="0"/>
          <w:numId w:val="9"/>
        </w:numPr>
        <w:tabs>
          <w:tab w:val="left" w:pos="426"/>
        </w:tabs>
        <w:spacing w:after="0" w:line="360" w:lineRule="auto"/>
        <w:ind w:left="851"/>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warstwa ścieralna – beton asfaltowy AC11S </w:t>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t xml:space="preserve">gr. 4,0 cm </w:t>
      </w:r>
    </w:p>
    <w:p w14:paraId="7D6A710D" w14:textId="4ECA4033" w:rsidR="00A31614" w:rsidRPr="00A31614" w:rsidRDefault="00A31614" w:rsidP="00852869">
      <w:pPr>
        <w:numPr>
          <w:ilvl w:val="0"/>
          <w:numId w:val="9"/>
        </w:numPr>
        <w:tabs>
          <w:tab w:val="left" w:pos="426"/>
        </w:tabs>
        <w:spacing w:after="0" w:line="360" w:lineRule="auto"/>
        <w:ind w:left="851"/>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warstwa wiążąca – beton asfaltowy AC16W </w:t>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t>gr. 8,0 cm</w:t>
      </w:r>
    </w:p>
    <w:p w14:paraId="77800697" w14:textId="78A20021" w:rsidR="00A31614" w:rsidRPr="00A31614" w:rsidRDefault="00A31614" w:rsidP="00852869">
      <w:pPr>
        <w:numPr>
          <w:ilvl w:val="0"/>
          <w:numId w:val="9"/>
        </w:numPr>
        <w:tabs>
          <w:tab w:val="left" w:pos="426"/>
        </w:tabs>
        <w:spacing w:after="0" w:line="360" w:lineRule="auto"/>
        <w:ind w:left="851"/>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siatka zbrojeniowa z włókien szklanych/węglowych </w:t>
      </w:r>
      <w:r w:rsidRPr="00A31614">
        <w:rPr>
          <w:rFonts w:ascii="Times New Roman" w:eastAsia="Calibri" w:hAnsi="Times New Roman" w:cs="Times New Roman"/>
          <w:sz w:val="24"/>
          <w:szCs w:val="24"/>
          <w:lang w:eastAsia="en-US"/>
        </w:rPr>
        <w:tab/>
      </w:r>
      <w:r w:rsidR="00852869">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t>szer. 1,0m</w:t>
      </w:r>
    </w:p>
    <w:p w14:paraId="0589CD43" w14:textId="1E97BE7D" w:rsidR="00A31614" w:rsidRPr="00A31614" w:rsidRDefault="00A31614" w:rsidP="00852869">
      <w:pPr>
        <w:numPr>
          <w:ilvl w:val="0"/>
          <w:numId w:val="9"/>
        </w:numPr>
        <w:tabs>
          <w:tab w:val="left" w:pos="426"/>
        </w:tabs>
        <w:spacing w:after="0" w:line="360" w:lineRule="auto"/>
        <w:ind w:left="851"/>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podbudowa z mieszanki niezwiązanej C90/3 </w:t>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t>gr. 20,0cm</w:t>
      </w:r>
    </w:p>
    <w:p w14:paraId="1294474E" w14:textId="77777777" w:rsidR="00A31614" w:rsidRPr="00A31614" w:rsidRDefault="00A31614" w:rsidP="00852869">
      <w:pPr>
        <w:numPr>
          <w:ilvl w:val="0"/>
          <w:numId w:val="9"/>
        </w:numPr>
        <w:tabs>
          <w:tab w:val="left" w:pos="426"/>
        </w:tabs>
        <w:spacing w:after="0" w:line="360" w:lineRule="auto"/>
        <w:ind w:left="851"/>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warstwa wzmacniająca C1,5/2 </w:t>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r>
      <w:r w:rsidRPr="00A31614">
        <w:rPr>
          <w:rFonts w:ascii="Times New Roman" w:eastAsia="Calibri" w:hAnsi="Times New Roman" w:cs="Times New Roman"/>
          <w:sz w:val="24"/>
          <w:szCs w:val="24"/>
          <w:lang w:eastAsia="en-US"/>
        </w:rPr>
        <w:tab/>
        <w:t>gr. 10 cm</w:t>
      </w:r>
    </w:p>
    <w:p w14:paraId="5D802525" w14:textId="77777777" w:rsidR="00A31614" w:rsidRPr="00A31614" w:rsidRDefault="00A31614" w:rsidP="00852869">
      <w:pPr>
        <w:numPr>
          <w:ilvl w:val="0"/>
          <w:numId w:val="9"/>
        </w:numPr>
        <w:tabs>
          <w:tab w:val="left" w:pos="426"/>
        </w:tabs>
        <w:spacing w:after="0" w:line="360" w:lineRule="auto"/>
        <w:ind w:left="851"/>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podłoże gruntowe E</w:t>
      </w:r>
      <w:r w:rsidRPr="00A31614">
        <w:rPr>
          <w:rFonts w:ascii="Times New Roman" w:eastAsia="Calibri" w:hAnsi="Times New Roman" w:cs="Times New Roman"/>
          <w:sz w:val="24"/>
          <w:szCs w:val="24"/>
          <w:vertAlign w:val="subscript"/>
          <w:lang w:eastAsia="en-US"/>
        </w:rPr>
        <w:t>2</w:t>
      </w:r>
      <w:r w:rsidRPr="00A31614">
        <w:rPr>
          <w:rFonts w:ascii="Times New Roman" w:eastAsia="Calibri" w:hAnsi="Times New Roman" w:cs="Times New Roman"/>
          <w:sz w:val="24"/>
          <w:szCs w:val="24"/>
          <w:lang w:eastAsia="en-US"/>
        </w:rPr>
        <w:t>≥50Mpa</w:t>
      </w:r>
    </w:p>
    <w:p w14:paraId="181DE3EC" w14:textId="77777777" w:rsidR="00A31614" w:rsidRPr="00A31614" w:rsidRDefault="00A31614" w:rsidP="00852869">
      <w:pPr>
        <w:spacing w:after="0" w:line="360" w:lineRule="auto"/>
        <w:ind w:left="851"/>
        <w:jc w:val="both"/>
        <w:rPr>
          <w:rFonts w:ascii="Times New Roman" w:eastAsia="Calibri" w:hAnsi="Times New Roman" w:cs="Times New Roman"/>
          <w:b/>
          <w:sz w:val="24"/>
          <w:szCs w:val="24"/>
          <w:lang w:eastAsia="en-US"/>
        </w:rPr>
      </w:pP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r>
      <w:r w:rsidRPr="00A31614">
        <w:rPr>
          <w:rFonts w:ascii="Times New Roman" w:eastAsia="Calibri" w:hAnsi="Times New Roman" w:cs="Times New Roman"/>
          <w:b/>
          <w:sz w:val="24"/>
          <w:szCs w:val="24"/>
          <w:lang w:eastAsia="en-US"/>
        </w:rPr>
        <w:tab/>
        <w:t>RAZEM gr. 42 cm</w:t>
      </w:r>
    </w:p>
    <w:p w14:paraId="4DBD824A"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6" w:name="_Toc167730730"/>
      <w:r w:rsidRPr="00A31614">
        <w:rPr>
          <w:rFonts w:ascii="Times New Roman" w:eastAsia="MS Gothic" w:hAnsi="Times New Roman" w:cs="Times New Roman"/>
          <w:b/>
          <w:sz w:val="24"/>
          <w:szCs w:val="24"/>
          <w:lang w:eastAsia="en-US"/>
        </w:rPr>
        <w:t>Zaprojektowana konstrukcja poszerzeń nawierzchni jezdni.</w:t>
      </w:r>
      <w:bookmarkEnd w:id="6"/>
    </w:p>
    <w:p w14:paraId="7A3C3B81" w14:textId="77777777" w:rsidR="00A31614" w:rsidRPr="00A31614" w:rsidRDefault="00A31614" w:rsidP="00852869">
      <w:pPr>
        <w:spacing w:after="0" w:line="360" w:lineRule="auto"/>
        <w:ind w:left="284"/>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 związku ze zmienną szerokością jezdni zaprojektowano poszerzenia w celu doprowadzenia podbudowy pod nową nawierzchnię do szerokości projektowanych szerokości jezdni. Konstrukcja poszerzenia wykonywana będzie w zależności od przebiegu projektowanej jezdni w planie.</w:t>
      </w:r>
    </w:p>
    <w:p w14:paraId="73C3AFE8" w14:textId="77777777" w:rsidR="00A31614" w:rsidRPr="00A31614" w:rsidRDefault="00A31614" w:rsidP="00852869">
      <w:pPr>
        <w:spacing w:after="0" w:line="360" w:lineRule="auto"/>
        <w:ind w:left="284"/>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Zestawienie odcinków poszerzeń:</w:t>
      </w:r>
    </w:p>
    <w:p w14:paraId="354054CA" w14:textId="77777777" w:rsidR="00A31614" w:rsidRPr="00A31614" w:rsidRDefault="00A31614" w:rsidP="00852869">
      <w:pPr>
        <w:numPr>
          <w:ilvl w:val="0"/>
          <w:numId w:val="25"/>
        </w:numPr>
        <w:spacing w:after="0" w:line="360" w:lineRule="auto"/>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SL od 0+070,80 do 0+124,70 – pow. 36,40m2,</w:t>
      </w:r>
    </w:p>
    <w:p w14:paraId="00018674" w14:textId="77777777" w:rsidR="00A31614" w:rsidRPr="00A31614" w:rsidRDefault="00A31614" w:rsidP="00852869">
      <w:pPr>
        <w:numPr>
          <w:ilvl w:val="0"/>
          <w:numId w:val="25"/>
        </w:numPr>
        <w:spacing w:after="0" w:line="360" w:lineRule="auto"/>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SL od 0+164,20 do 0+302,40 – pow. 156,90m2,</w:t>
      </w:r>
    </w:p>
    <w:p w14:paraId="558FC50A" w14:textId="77777777" w:rsidR="00A31614" w:rsidRPr="00A31614" w:rsidRDefault="00A31614" w:rsidP="00852869">
      <w:pPr>
        <w:numPr>
          <w:ilvl w:val="0"/>
          <w:numId w:val="25"/>
        </w:numPr>
        <w:spacing w:after="0" w:line="360" w:lineRule="auto"/>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SP od 0+081,60 do 0+318,50 – pow. 238,80m2,</w:t>
      </w:r>
    </w:p>
    <w:p w14:paraId="0786F39E" w14:textId="77777777" w:rsidR="00A31614" w:rsidRPr="00A31614" w:rsidRDefault="00A31614" w:rsidP="00852869">
      <w:pPr>
        <w:spacing w:after="0" w:line="360" w:lineRule="auto"/>
        <w:ind w:left="851"/>
        <w:jc w:val="both"/>
        <w:rPr>
          <w:rFonts w:ascii="Times New Roman" w:eastAsia="Calibri" w:hAnsi="Times New Roman" w:cs="Times New Roman"/>
          <w:b/>
          <w:sz w:val="24"/>
          <w:szCs w:val="24"/>
          <w:lang w:eastAsia="en-US"/>
        </w:rPr>
      </w:pPr>
    </w:p>
    <w:p w14:paraId="5F3CB3B6" w14:textId="77777777" w:rsidR="00A31614" w:rsidRPr="00A31614" w:rsidRDefault="00A31614" w:rsidP="00852869">
      <w:pPr>
        <w:keepNext/>
        <w:tabs>
          <w:tab w:val="left" w:pos="283"/>
          <w:tab w:val="left" w:pos="3614"/>
          <w:tab w:val="left" w:pos="8363"/>
        </w:tabs>
        <w:autoSpaceDE w:val="0"/>
        <w:autoSpaceDN w:val="0"/>
        <w:adjustRightInd w:val="0"/>
        <w:spacing w:after="0" w:line="360" w:lineRule="auto"/>
        <w:jc w:val="both"/>
        <w:outlineLvl w:val="0"/>
        <w:rPr>
          <w:rFonts w:ascii="Times New Roman" w:hAnsi="Times New Roman" w:cs="Times New Roman"/>
          <w:b/>
          <w:bCs/>
          <w:sz w:val="24"/>
          <w:szCs w:val="24"/>
        </w:rPr>
      </w:pPr>
      <w:bookmarkStart w:id="7" w:name="_Toc167730731"/>
      <w:r w:rsidRPr="00A31614">
        <w:rPr>
          <w:rFonts w:ascii="Times New Roman" w:hAnsi="Times New Roman" w:cs="Times New Roman"/>
          <w:b/>
          <w:bCs/>
          <w:sz w:val="24"/>
          <w:szCs w:val="24"/>
        </w:rPr>
        <w:t>PROJEKTOWANE ZAGOSPODAROWANIE.</w:t>
      </w:r>
      <w:bookmarkEnd w:id="7"/>
      <w:r w:rsidRPr="00A31614">
        <w:rPr>
          <w:rFonts w:ascii="Times New Roman" w:hAnsi="Times New Roman" w:cs="Times New Roman"/>
          <w:b/>
          <w:bCs/>
          <w:sz w:val="24"/>
          <w:szCs w:val="24"/>
        </w:rPr>
        <w:t xml:space="preserve"> </w:t>
      </w:r>
    </w:p>
    <w:p w14:paraId="36C7399D"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8" w:name="_Toc167730732"/>
      <w:r w:rsidRPr="00A31614">
        <w:rPr>
          <w:rFonts w:ascii="Times New Roman" w:eastAsia="MS Gothic" w:hAnsi="Times New Roman" w:cs="Times New Roman"/>
          <w:b/>
          <w:sz w:val="24"/>
          <w:szCs w:val="24"/>
          <w:lang w:eastAsia="en-US"/>
        </w:rPr>
        <w:t>Plan sytuacyjny.</w:t>
      </w:r>
      <w:bookmarkEnd w:id="8"/>
    </w:p>
    <w:p w14:paraId="13FA167A"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Planowany do przebudowy odcinek drogi gminnej sytuacyjnie prowadzony będzie w całości w starym śladzie istniejącej jezdni.</w:t>
      </w:r>
    </w:p>
    <w:p w14:paraId="7C3D0302"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lastRenderedPageBreak/>
        <w:t>Skrzyżowanie: projekt w zakresie dowiązany jest do istniejącego skrzyżowania w km 0+102,88 – dowiązanie do istniejącej nawierzchni oraz 0+308,47 wykonanie przebudowy istniejącego skrzyżowania – wcinka warstwą ścieralną na długości 10m.</w:t>
      </w:r>
    </w:p>
    <w:p w14:paraId="4BA968E0" w14:textId="77777777" w:rsidR="00A31614" w:rsidRPr="00A31614" w:rsidRDefault="00A31614" w:rsidP="00852869">
      <w:pPr>
        <w:spacing w:after="0" w:line="360" w:lineRule="auto"/>
        <w:ind w:left="284"/>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Na odcinku od skrzyżowania w km 0+102,88 do skrzyżowania w km 0+308,47 zaprojektowano przekrój jednojezdniowy 1/2 o szerokości 5,00m. Nawierzchnia jezdni wykonana będzie z mieszanki mineralno-asfaltowej i ograniczana obustronnymi poboczami gruntowymi o szerokości 0,50m na odcinku przekroju 1/2 zastosowano odcięcie od pobocza krawężnikiem h=+6cm.</w:t>
      </w:r>
    </w:p>
    <w:p w14:paraId="3D292AAC" w14:textId="77777777" w:rsidR="00A31614" w:rsidRPr="00A31614" w:rsidRDefault="00A31614" w:rsidP="00852869">
      <w:pPr>
        <w:spacing w:after="0" w:line="360" w:lineRule="auto"/>
        <w:ind w:left="284"/>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Wody opadowe i roztopowe z utwardzonych powierzchni pasa drogowego na odcinku o przekroju 1/2 i szerokości 5,00m odprowadzone zostaną do odcinka nowoprojektowanej sieci kanalizacji deszczowej, na pozostałych odcinkach wody opadowe odprowadzane powierzchniowo w pobocza gruntowe – jak dotychczas.</w:t>
      </w:r>
    </w:p>
    <w:p w14:paraId="6F56E565"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9" w:name="_Toc167730733"/>
      <w:r w:rsidRPr="00A31614">
        <w:rPr>
          <w:rFonts w:ascii="Times New Roman" w:eastAsia="MS Gothic" w:hAnsi="Times New Roman" w:cs="Times New Roman"/>
          <w:b/>
          <w:sz w:val="24"/>
          <w:szCs w:val="24"/>
          <w:lang w:eastAsia="en-US"/>
        </w:rPr>
        <w:t>Profil podłużny.</w:t>
      </w:r>
      <w:bookmarkEnd w:id="9"/>
    </w:p>
    <w:p w14:paraId="73AB3685"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Profil podłużny zaprojektowano w oparciu o istniejący profil drogi gminnej uwzględniając grubość warstw wzmocnienia nawierzchni i wykonania poszerzeń. Projekt zakłada wykonanie nowej nawierzchni na całym przebudowywanym odcinku. Dowiązanie do istniejącej nawierzchni na skrzyżowaniu w km 0+0102,88 należy wykonać na długości 10m w zakresie warstwy ścieralnej.</w:t>
      </w:r>
    </w:p>
    <w:p w14:paraId="0A577CA3" w14:textId="77777777" w:rsidR="00A31614" w:rsidRPr="00A31614" w:rsidRDefault="00A31614" w:rsidP="00852869">
      <w:pPr>
        <w:spacing w:after="0" w:line="360" w:lineRule="auto"/>
        <w:ind w:left="284"/>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Wartości pochyleń podłużnych niwelety jezdni będą miały wartości umiarkowane od 0,35% do 3,4%.</w:t>
      </w:r>
    </w:p>
    <w:p w14:paraId="5955377B"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10" w:name="_Toc167730734"/>
      <w:r w:rsidRPr="00A31614">
        <w:rPr>
          <w:rFonts w:ascii="Times New Roman" w:eastAsia="MS Gothic" w:hAnsi="Times New Roman" w:cs="Times New Roman"/>
          <w:b/>
          <w:sz w:val="24"/>
          <w:szCs w:val="24"/>
          <w:lang w:eastAsia="en-US"/>
        </w:rPr>
        <w:t>Pochylenia poprzeczne.</w:t>
      </w:r>
      <w:bookmarkEnd w:id="10"/>
    </w:p>
    <w:p w14:paraId="353E415A"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Jezdnia projektowanego odcinka drogi będzie miała nominalnie pochylenie daszkowe 2% na odcinku od 0+102 do 0+308 w przekroju 1/2 o szerokości 5,0m. Na pozostałych odcinkach w przekroju 1/1 o szerokości 3,5m pochylenie jednostronne o spadku poprzecznym 2%. Pochylenie poprzeczne poboczy projektowane jest o wartościach nominalnych 6% skierowanych na zewnątrz korony drogi zgodnych z wymaganiami technicznymi w tym zakresie. Pobocza gruntowe należy dowiązać do istniejącej nawierzchni terenów przyległych.</w:t>
      </w:r>
    </w:p>
    <w:p w14:paraId="305DE11A"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11" w:name="_Toc167730735"/>
      <w:r w:rsidRPr="00A31614">
        <w:rPr>
          <w:rFonts w:ascii="Times New Roman" w:eastAsia="MS Gothic" w:hAnsi="Times New Roman" w:cs="Times New Roman"/>
          <w:b/>
          <w:sz w:val="24"/>
          <w:szCs w:val="24"/>
          <w:lang w:eastAsia="en-US"/>
        </w:rPr>
        <w:t>Roboty rozbiórkowe.</w:t>
      </w:r>
      <w:bookmarkEnd w:id="11"/>
    </w:p>
    <w:p w14:paraId="1C918042"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Przed przystąpieniem do robót zasadniczych należy wykonać następujące roboty rozbiórkowe:</w:t>
      </w:r>
    </w:p>
    <w:p w14:paraId="14F22757" w14:textId="77777777" w:rsidR="00A31614" w:rsidRPr="00A31614" w:rsidRDefault="00A31614" w:rsidP="00852869">
      <w:pPr>
        <w:numPr>
          <w:ilvl w:val="0"/>
          <w:numId w:val="20"/>
        </w:numPr>
        <w:spacing w:after="0" w:line="360" w:lineRule="auto"/>
        <w:ind w:left="709" w:hanging="425"/>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rozbiórka istniejących konstrukcji zjazdów w uzgodnieniu z właścicielami przyległych posesji w celu regulacji wysokościowej – dowiązania..</w:t>
      </w:r>
    </w:p>
    <w:p w14:paraId="28DBF366"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12" w:name="_Toc167730736"/>
      <w:r w:rsidRPr="00A31614">
        <w:rPr>
          <w:rFonts w:ascii="Times New Roman" w:eastAsia="MS Gothic" w:hAnsi="Times New Roman" w:cs="Times New Roman"/>
          <w:b/>
          <w:sz w:val="24"/>
          <w:szCs w:val="24"/>
          <w:lang w:eastAsia="en-US"/>
        </w:rPr>
        <w:t>Roboty ziemne.</w:t>
      </w:r>
      <w:bookmarkEnd w:id="12"/>
    </w:p>
    <w:p w14:paraId="19154BC6"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 ramach przedmiotowej inwestycji przewidziano następujące roboty ziemne:</w:t>
      </w:r>
    </w:p>
    <w:p w14:paraId="6108BBDA" w14:textId="77777777" w:rsidR="00A31614" w:rsidRPr="00A31614" w:rsidRDefault="00A31614" w:rsidP="00852869">
      <w:pPr>
        <w:numPr>
          <w:ilvl w:val="0"/>
          <w:numId w:val="19"/>
        </w:numPr>
        <w:spacing w:after="0" w:line="360" w:lineRule="auto"/>
        <w:ind w:left="709" w:hanging="425"/>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lastRenderedPageBreak/>
        <w:t>usunięcie górnej, nienośnej warstwy gruntu/kruszywa (zdjęcie warstwy humusu, rozbiórka pobocza z kruszywa) pod projektowane nowe elementy zagospodarowania – poszerzenia jezdni w niezbędnym zakresie w tym konstrukcjami nawierzchni i poboczami,</w:t>
      </w:r>
    </w:p>
    <w:p w14:paraId="271B7AA1" w14:textId="77777777" w:rsidR="00A31614" w:rsidRPr="00A31614" w:rsidRDefault="00A31614" w:rsidP="00852869">
      <w:pPr>
        <w:numPr>
          <w:ilvl w:val="0"/>
          <w:numId w:val="19"/>
        </w:numPr>
        <w:spacing w:after="0" w:line="360" w:lineRule="auto"/>
        <w:ind w:left="709" w:hanging="425"/>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wykonanie koryta pod projektowane konstrukcje nawierzchni poszerzeń,</w:t>
      </w:r>
    </w:p>
    <w:p w14:paraId="643C438F" w14:textId="77777777" w:rsidR="00A31614" w:rsidRPr="00A31614" w:rsidRDefault="00A31614" w:rsidP="00852869">
      <w:pPr>
        <w:numPr>
          <w:ilvl w:val="0"/>
          <w:numId w:val="19"/>
        </w:numPr>
        <w:spacing w:after="0" w:line="360" w:lineRule="auto"/>
        <w:ind w:left="709" w:hanging="425"/>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profilowanie i zagęszczanie koryta pod konstrukcje nawierzchni.</w:t>
      </w:r>
    </w:p>
    <w:p w14:paraId="76F8B351"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13" w:name="_Toc167730737"/>
      <w:r w:rsidRPr="00A31614">
        <w:rPr>
          <w:rFonts w:ascii="Times New Roman" w:eastAsia="MS Gothic" w:hAnsi="Times New Roman" w:cs="Times New Roman"/>
          <w:b/>
          <w:sz w:val="24"/>
          <w:szCs w:val="24"/>
          <w:lang w:eastAsia="en-US"/>
        </w:rPr>
        <w:t>Odwodnienie.</w:t>
      </w:r>
      <w:bookmarkEnd w:id="13"/>
    </w:p>
    <w:p w14:paraId="3E04199F" w14:textId="77777777" w:rsidR="00A31614" w:rsidRPr="00A31614" w:rsidRDefault="00A31614" w:rsidP="00852869">
      <w:pPr>
        <w:spacing w:after="0" w:line="360" w:lineRule="auto"/>
        <w:ind w:left="284"/>
        <w:jc w:val="both"/>
        <w:rPr>
          <w:rFonts w:ascii="Times New Roman" w:eastAsia="Calibri" w:hAnsi="Times New Roman" w:cs="Times New Roman"/>
          <w:sz w:val="24"/>
          <w:szCs w:val="24"/>
          <w:highlight w:val="yellow"/>
          <w:lang w:eastAsia="en-US"/>
        </w:rPr>
      </w:pPr>
      <w:r w:rsidRPr="00A31614">
        <w:rPr>
          <w:rFonts w:ascii="Times New Roman" w:eastAsia="Calibri" w:hAnsi="Times New Roman" w:cs="Times New Roman"/>
          <w:sz w:val="24"/>
          <w:szCs w:val="24"/>
          <w:lang w:eastAsia="en-US"/>
        </w:rPr>
        <w:t>Odwodnienie nawierzchni zapewniono poprzez odprowadzenie wód opadowych spadkami podłużnymi oraz spadkiem poprzecznym 2% do nowoprojektowanych wpustów ulicznych i nowoprojektowanego odcinka sieci kanalizacji deszczowej.</w:t>
      </w:r>
    </w:p>
    <w:p w14:paraId="3E57B184"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14" w:name="_Toc167730738"/>
      <w:r w:rsidRPr="00A31614">
        <w:rPr>
          <w:rFonts w:ascii="Times New Roman" w:eastAsia="MS Gothic" w:hAnsi="Times New Roman" w:cs="Times New Roman"/>
          <w:b/>
          <w:sz w:val="24"/>
          <w:szCs w:val="24"/>
          <w:lang w:eastAsia="en-US"/>
        </w:rPr>
        <w:t>Infrastruktura techniczna w pasie drogowym nie związana z drogą.</w:t>
      </w:r>
      <w:bookmarkEnd w:id="14"/>
    </w:p>
    <w:p w14:paraId="4541FD1A"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 obszarze opracowania występują sieci:</w:t>
      </w:r>
    </w:p>
    <w:p w14:paraId="0F97BAB8" w14:textId="77777777" w:rsidR="00A31614" w:rsidRPr="00A31614" w:rsidRDefault="00A31614" w:rsidP="00852869">
      <w:pPr>
        <w:numPr>
          <w:ilvl w:val="0"/>
          <w:numId w:val="7"/>
        </w:numPr>
        <w:autoSpaceDE w:val="0"/>
        <w:autoSpaceDN w:val="0"/>
        <w:adjustRightInd w:val="0"/>
        <w:spacing w:after="0" w:line="360" w:lineRule="auto"/>
        <w:ind w:left="1276"/>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wodociągowe – </w:t>
      </w:r>
      <w:r w:rsidRPr="00A31614">
        <w:rPr>
          <w:rFonts w:ascii="Times New Roman" w:eastAsia="Calibri" w:hAnsi="Times New Roman" w:cs="Times New Roman"/>
          <w:i/>
          <w:iCs/>
          <w:sz w:val="24"/>
          <w:szCs w:val="24"/>
          <w:lang w:eastAsia="en-US"/>
        </w:rPr>
        <w:t>w90</w:t>
      </w:r>
      <w:r w:rsidRPr="00A31614">
        <w:rPr>
          <w:rFonts w:ascii="Times New Roman" w:eastAsia="Calibri" w:hAnsi="Times New Roman" w:cs="Times New Roman"/>
          <w:sz w:val="24"/>
          <w:szCs w:val="24"/>
          <w:lang w:eastAsia="en-US"/>
        </w:rPr>
        <w:t xml:space="preserve">, </w:t>
      </w:r>
    </w:p>
    <w:p w14:paraId="4AE2EA60" w14:textId="77777777" w:rsidR="00A31614" w:rsidRPr="00A31614" w:rsidRDefault="00A31614" w:rsidP="00852869">
      <w:pPr>
        <w:numPr>
          <w:ilvl w:val="0"/>
          <w:numId w:val="7"/>
        </w:numPr>
        <w:autoSpaceDE w:val="0"/>
        <w:autoSpaceDN w:val="0"/>
        <w:adjustRightInd w:val="0"/>
        <w:spacing w:after="0" w:line="360" w:lineRule="auto"/>
        <w:ind w:left="1276"/>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kanalizacji deszczowej - </w:t>
      </w:r>
      <w:proofErr w:type="spellStart"/>
      <w:r w:rsidRPr="00A31614">
        <w:rPr>
          <w:rFonts w:ascii="Times New Roman" w:eastAsia="Calibri" w:hAnsi="Times New Roman" w:cs="Times New Roman"/>
          <w:i/>
          <w:sz w:val="24"/>
          <w:szCs w:val="24"/>
          <w:lang w:eastAsia="en-US"/>
        </w:rPr>
        <w:t>kD</w:t>
      </w:r>
      <w:proofErr w:type="spellEnd"/>
      <w:r w:rsidRPr="00A31614">
        <w:rPr>
          <w:rFonts w:ascii="Times New Roman" w:eastAsia="Calibri" w:hAnsi="Times New Roman" w:cs="Times New Roman"/>
          <w:i/>
          <w:sz w:val="24"/>
          <w:szCs w:val="24"/>
          <w:lang w:eastAsia="en-US"/>
        </w:rPr>
        <w:t>,</w:t>
      </w:r>
    </w:p>
    <w:p w14:paraId="7E46544A" w14:textId="77777777" w:rsidR="00A31614" w:rsidRPr="00A31614" w:rsidRDefault="00A31614" w:rsidP="00852869">
      <w:pPr>
        <w:numPr>
          <w:ilvl w:val="0"/>
          <w:numId w:val="7"/>
        </w:numPr>
        <w:autoSpaceDE w:val="0"/>
        <w:autoSpaceDN w:val="0"/>
        <w:adjustRightInd w:val="0"/>
        <w:spacing w:after="0" w:line="360" w:lineRule="auto"/>
        <w:ind w:left="1276"/>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teletechniczna </w:t>
      </w:r>
      <w:r w:rsidRPr="00A31614">
        <w:rPr>
          <w:rFonts w:ascii="Times New Roman" w:eastAsia="Calibri" w:hAnsi="Times New Roman" w:cs="Times New Roman"/>
          <w:i/>
          <w:sz w:val="24"/>
          <w:szCs w:val="24"/>
          <w:lang w:eastAsia="en-US"/>
        </w:rPr>
        <w:t>t (kanał technologiczny)</w:t>
      </w:r>
      <w:r w:rsidRPr="00A31614">
        <w:rPr>
          <w:rFonts w:ascii="Times New Roman" w:eastAsia="Calibri" w:hAnsi="Times New Roman" w:cs="Times New Roman"/>
          <w:sz w:val="24"/>
          <w:szCs w:val="24"/>
          <w:lang w:eastAsia="en-US"/>
        </w:rPr>
        <w:t xml:space="preserve">, </w:t>
      </w:r>
    </w:p>
    <w:p w14:paraId="6B1C9EE7" w14:textId="77777777" w:rsidR="00A31614" w:rsidRPr="00A31614" w:rsidRDefault="00A31614" w:rsidP="00852869">
      <w:pPr>
        <w:numPr>
          <w:ilvl w:val="0"/>
          <w:numId w:val="7"/>
        </w:numPr>
        <w:autoSpaceDE w:val="0"/>
        <w:autoSpaceDN w:val="0"/>
        <w:adjustRightInd w:val="0"/>
        <w:spacing w:after="0" w:line="360" w:lineRule="auto"/>
        <w:ind w:left="1276"/>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energetyczna – </w:t>
      </w:r>
      <w:proofErr w:type="spellStart"/>
      <w:r w:rsidRPr="00A31614">
        <w:rPr>
          <w:rFonts w:ascii="Times New Roman" w:eastAsia="Calibri" w:hAnsi="Times New Roman" w:cs="Times New Roman"/>
          <w:i/>
          <w:iCs/>
          <w:sz w:val="24"/>
          <w:szCs w:val="24"/>
          <w:lang w:eastAsia="en-US"/>
        </w:rPr>
        <w:t>eN</w:t>
      </w:r>
      <w:proofErr w:type="spellEnd"/>
      <w:r w:rsidRPr="00A31614">
        <w:rPr>
          <w:rFonts w:ascii="Times New Roman" w:eastAsia="Calibri" w:hAnsi="Times New Roman" w:cs="Times New Roman"/>
          <w:sz w:val="24"/>
          <w:szCs w:val="24"/>
          <w:lang w:eastAsia="en-US"/>
        </w:rPr>
        <w:t>.</w:t>
      </w:r>
    </w:p>
    <w:p w14:paraId="44090638" w14:textId="77777777" w:rsidR="00A31614" w:rsidRPr="00A31614" w:rsidRDefault="00A31614" w:rsidP="00852869">
      <w:pPr>
        <w:spacing w:after="0" w:line="360" w:lineRule="auto"/>
        <w:ind w:left="284"/>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Istniejące sieci nie kolidują z projektowana inwestycją.</w:t>
      </w:r>
    </w:p>
    <w:p w14:paraId="29406764"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15" w:name="_Toc167730739"/>
      <w:r w:rsidRPr="00A31614">
        <w:rPr>
          <w:rFonts w:ascii="Times New Roman" w:eastAsia="MS Gothic" w:hAnsi="Times New Roman" w:cs="Times New Roman"/>
          <w:b/>
          <w:sz w:val="24"/>
          <w:szCs w:val="24"/>
          <w:lang w:eastAsia="en-US"/>
        </w:rPr>
        <w:t>Zieleń drogowa i drzewa.</w:t>
      </w:r>
      <w:bookmarkEnd w:id="15"/>
    </w:p>
    <w:p w14:paraId="26CB2106"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Tereny przyległe do projektowanego zagospodarowania a nie przeznaczone pod elementy komunikacji zostaną umocnione poprzez zastosowanie zieleni. Zaprojektowano wykonanie terenów zielonych poprzez ich pokrycie warstwą ziemi urodzajnej (humusu) grubości min. 10 cm oraz obsianie mieszanką nasion traw przeznaczonych na tereny nasłonecznione. Zakres planowanego zagospodarowania nie powoduje ingerencję w istniejącą zieleń wysoką nie będzie wymagać wycinki drzew. </w:t>
      </w:r>
    </w:p>
    <w:p w14:paraId="59BEB7C6"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Przed przystąpieniem do robót ziemnych należy zdjąć warstwę humusu grub. 10cm. W ramach prac wykończeniowych projekt przewiduje humusowanie terenów zielonych warstwą humusu grubości 10cm z jednoczesnym obsianiem mieszanką traw w miejscach objętych robotami budowlanymi. Ingerencja ta na etapie projektowania została ograniczona do minimum. </w:t>
      </w:r>
    </w:p>
    <w:p w14:paraId="049D038C"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16" w:name="_Toc167730740"/>
      <w:r w:rsidRPr="00A31614">
        <w:rPr>
          <w:rFonts w:ascii="Times New Roman" w:eastAsia="MS Gothic" w:hAnsi="Times New Roman" w:cs="Times New Roman"/>
          <w:b/>
          <w:sz w:val="24"/>
          <w:szCs w:val="24"/>
          <w:lang w:eastAsia="en-US"/>
        </w:rPr>
        <w:t>Wpływ eksploatacji górniczej.</w:t>
      </w:r>
      <w:bookmarkEnd w:id="16"/>
    </w:p>
    <w:p w14:paraId="169DB275"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Nie występuje. Inwestycja nie leży w granicach terenu górniczego.</w:t>
      </w:r>
    </w:p>
    <w:p w14:paraId="3AD3E681"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17" w:name="_Toc167730741"/>
      <w:r w:rsidRPr="00A31614">
        <w:rPr>
          <w:rFonts w:ascii="Times New Roman" w:eastAsia="MS Gothic" w:hAnsi="Times New Roman" w:cs="Times New Roman"/>
          <w:b/>
          <w:sz w:val="24"/>
          <w:szCs w:val="24"/>
          <w:lang w:eastAsia="en-US"/>
        </w:rPr>
        <w:t>Ochrona konserwatorska przyrody.</w:t>
      </w:r>
      <w:bookmarkEnd w:id="17"/>
    </w:p>
    <w:p w14:paraId="6E3EBEF3"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Teren inwestycji znajduje się poza granicami obszaru Natura 2000. </w:t>
      </w:r>
    </w:p>
    <w:p w14:paraId="7830532E"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18" w:name="_Toc167730742"/>
      <w:r w:rsidRPr="00A31614">
        <w:rPr>
          <w:rFonts w:ascii="Times New Roman" w:eastAsia="MS Gothic" w:hAnsi="Times New Roman" w:cs="Times New Roman"/>
          <w:b/>
          <w:sz w:val="24"/>
          <w:szCs w:val="24"/>
          <w:lang w:eastAsia="en-US"/>
        </w:rPr>
        <w:lastRenderedPageBreak/>
        <w:t>Ochrona konserwatorska zabytków.</w:t>
      </w:r>
      <w:bookmarkEnd w:id="18"/>
    </w:p>
    <w:p w14:paraId="5C20F146" w14:textId="63273EEF"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Zgodnie z danymi zawartymi w rejestrze i ewidencji zabytków w obszarze planowanej inwestycji nie występują stanowiska archeologiczne, a także teren ten nie jest objęty ochroną Konserwatora Zabytków. Jednakże w przypadku natrafienia podczas prac ziemnych na znaleziska archeologiczne należy przerwać prace, zabezpieczyć znaleziony przedmiot i niezwłocznie powiadomić o znalezisku Zachodniopomorskiego Wojewódzkiego Konserwatora Zabytków oraz Burmistrza Chociwla.</w:t>
      </w:r>
    </w:p>
    <w:p w14:paraId="76D4E6AA" w14:textId="77777777" w:rsidR="00A31614" w:rsidRPr="00A31614" w:rsidRDefault="00A31614" w:rsidP="00852869">
      <w:pPr>
        <w:keepNext/>
        <w:tabs>
          <w:tab w:val="left" w:pos="283"/>
          <w:tab w:val="left" w:pos="3614"/>
          <w:tab w:val="left" w:pos="8363"/>
        </w:tabs>
        <w:autoSpaceDE w:val="0"/>
        <w:autoSpaceDN w:val="0"/>
        <w:adjustRightInd w:val="0"/>
        <w:spacing w:after="0" w:line="360" w:lineRule="auto"/>
        <w:jc w:val="both"/>
        <w:outlineLvl w:val="0"/>
        <w:rPr>
          <w:rFonts w:ascii="Times New Roman" w:hAnsi="Times New Roman" w:cs="Times New Roman"/>
          <w:b/>
          <w:bCs/>
          <w:sz w:val="24"/>
          <w:szCs w:val="24"/>
        </w:rPr>
      </w:pPr>
      <w:bookmarkStart w:id="19" w:name="_Toc167730743"/>
      <w:r w:rsidRPr="00A31614">
        <w:rPr>
          <w:rFonts w:ascii="Times New Roman" w:hAnsi="Times New Roman" w:cs="Times New Roman"/>
          <w:b/>
          <w:bCs/>
          <w:sz w:val="24"/>
          <w:szCs w:val="24"/>
        </w:rPr>
        <w:t>WARUNKI GEOTECHNICZNE, SPOSÓB POSADOWIENIA OBIEKTU BUDOWLANEGO.</w:t>
      </w:r>
      <w:bookmarkEnd w:id="19"/>
    </w:p>
    <w:p w14:paraId="60A1F899"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20" w:name="_Toc167730744"/>
      <w:r w:rsidRPr="00A31614">
        <w:rPr>
          <w:rFonts w:ascii="Times New Roman" w:eastAsia="MS Gothic" w:hAnsi="Times New Roman" w:cs="Times New Roman"/>
          <w:b/>
          <w:sz w:val="24"/>
          <w:szCs w:val="24"/>
          <w:lang w:eastAsia="en-US"/>
        </w:rPr>
        <w:t>Opinia geotechniczna.</w:t>
      </w:r>
      <w:bookmarkEnd w:id="20"/>
    </w:p>
    <w:p w14:paraId="40CAF4B3"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r w:rsidRPr="00A31614">
        <w:rPr>
          <w:rFonts w:ascii="Times New Roman" w:eastAsia="Calibri" w:hAnsi="Times New Roman" w:cs="Times New Roman"/>
          <w:sz w:val="24"/>
          <w:szCs w:val="24"/>
          <w:lang w:eastAsia="en-US"/>
        </w:rPr>
        <w:t>Na podstawie przygotowanej opinii geotechnicznej określono warunki gruntowo – wodne oraz sposób przygotowania podłoża pod konstrukcję nawierzchni.</w:t>
      </w:r>
    </w:p>
    <w:p w14:paraId="451A5F2D"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Na podstawie wyników badań przeprowadzonych w kwietniu 2024 stwierdzono, że podłoże rodzime pod planowaną inwestycję, pod konstrukcją drogową i warstwą nasypu w strefie rozpoznania (tj. do głębokości 4,0 m p.p.t.) budują osady lodowcowe w postaci piasków drobny (</w:t>
      </w:r>
      <w:proofErr w:type="spellStart"/>
      <w:r w:rsidRPr="00A31614">
        <w:rPr>
          <w:rFonts w:ascii="Times New Roman" w:eastAsia="Calibri" w:hAnsi="Times New Roman" w:cs="Times New Roman"/>
          <w:sz w:val="24"/>
          <w:szCs w:val="24"/>
          <w:lang w:eastAsia="en-US"/>
        </w:rPr>
        <w:t>fSa</w:t>
      </w:r>
      <w:proofErr w:type="spellEnd"/>
      <w:r w:rsidRPr="00A31614">
        <w:rPr>
          <w:rFonts w:ascii="Times New Roman" w:eastAsia="Calibri" w:hAnsi="Times New Roman" w:cs="Times New Roman"/>
          <w:sz w:val="24"/>
          <w:szCs w:val="24"/>
          <w:lang w:eastAsia="en-US"/>
        </w:rPr>
        <w:t>), które na głębokości 0,8 – 1,2 m przechodzą w piaski gliniaste (</w:t>
      </w:r>
      <w:proofErr w:type="spellStart"/>
      <w:r w:rsidRPr="00A31614">
        <w:rPr>
          <w:rFonts w:ascii="Times New Roman" w:eastAsia="Calibri" w:hAnsi="Times New Roman" w:cs="Times New Roman"/>
          <w:sz w:val="24"/>
          <w:szCs w:val="24"/>
          <w:lang w:eastAsia="en-US"/>
        </w:rPr>
        <w:t>clSa</w:t>
      </w:r>
      <w:proofErr w:type="spellEnd"/>
      <w:r w:rsidRPr="00A31614">
        <w:rPr>
          <w:rFonts w:ascii="Times New Roman" w:eastAsia="Calibri" w:hAnsi="Times New Roman" w:cs="Times New Roman"/>
          <w:sz w:val="24"/>
          <w:szCs w:val="24"/>
          <w:lang w:eastAsia="en-US"/>
        </w:rPr>
        <w:t>). W trakcie wykonywania prac polowych (kwiecień 2024r.) w otworze nr 1 stwierdzono występowanie napiętego zwierciadła wody gruntowej na głębokości 3,0 m. Woda stabilizowała się na głębokości 2,0 m p.p.t.</w:t>
      </w:r>
    </w:p>
    <w:p w14:paraId="1FC22D9F"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Podłoże przedmiotowej inwestycji podzielono na trzy warstwy geotechniczne: jedną w gruntach niespoistych oraz dwie w obrębie gruntów spoistych zróżnicowanych pod względem parametrów geotechnicznych.</w:t>
      </w:r>
    </w:p>
    <w:p w14:paraId="775CF24B"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Warstwy geotechniczne budujące podłoże:</w:t>
      </w:r>
    </w:p>
    <w:p w14:paraId="43C816AA" w14:textId="77777777" w:rsidR="00A31614" w:rsidRPr="00A31614" w:rsidRDefault="00A31614" w:rsidP="00852869">
      <w:pPr>
        <w:spacing w:after="0" w:line="360" w:lineRule="auto"/>
        <w:ind w:left="1134" w:hanging="425"/>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t>
      </w:r>
      <w:r w:rsidRPr="00A31614">
        <w:rPr>
          <w:rFonts w:ascii="Times New Roman" w:eastAsia="Calibri" w:hAnsi="Times New Roman" w:cs="Times New Roman"/>
          <w:sz w:val="24"/>
          <w:szCs w:val="24"/>
          <w:lang w:eastAsia="en-US"/>
        </w:rPr>
        <w:tab/>
        <w:t>Warstwa I a – piaski gliniaste, wilgotne; plastyczne o przyjętej wartości stopnia plastyczności IL = 0,4;</w:t>
      </w:r>
    </w:p>
    <w:p w14:paraId="6E1A557E" w14:textId="77777777" w:rsidR="00A31614" w:rsidRPr="00A31614" w:rsidRDefault="00A31614" w:rsidP="00852869">
      <w:pPr>
        <w:spacing w:after="0" w:line="360" w:lineRule="auto"/>
        <w:ind w:left="1134" w:hanging="425"/>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t>
      </w:r>
      <w:r w:rsidRPr="00A31614">
        <w:rPr>
          <w:rFonts w:ascii="Times New Roman" w:eastAsia="Calibri" w:hAnsi="Times New Roman" w:cs="Times New Roman"/>
          <w:sz w:val="24"/>
          <w:szCs w:val="24"/>
          <w:lang w:eastAsia="en-US"/>
        </w:rPr>
        <w:tab/>
        <w:t>Warstwa I b – piaski gliniaste, mało wilgotne; twardoplastyczne o przyjętej wartości stopnia plastyczności IL = 0,1.</w:t>
      </w:r>
    </w:p>
    <w:p w14:paraId="034EA588" w14:textId="77777777" w:rsidR="00A31614" w:rsidRPr="00A31614" w:rsidRDefault="00A31614" w:rsidP="00852869">
      <w:pPr>
        <w:spacing w:after="0" w:line="360" w:lineRule="auto"/>
        <w:ind w:left="1134" w:hanging="425"/>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t>
      </w:r>
      <w:r w:rsidRPr="00A31614">
        <w:rPr>
          <w:rFonts w:ascii="Times New Roman" w:eastAsia="Calibri" w:hAnsi="Times New Roman" w:cs="Times New Roman"/>
          <w:sz w:val="24"/>
          <w:szCs w:val="24"/>
          <w:lang w:eastAsia="en-US"/>
        </w:rPr>
        <w:tab/>
        <w:t>Warstwa II – piaski drobne, mało wilgotne i nawodnione; średnio zagęszczone o przyjętej wartości stopnia zagęszczenia ID = 0,5;</w:t>
      </w:r>
    </w:p>
    <w:p w14:paraId="7B311577" w14:textId="77777777" w:rsidR="00A31614" w:rsidRPr="00A31614" w:rsidRDefault="00A31614" w:rsidP="00852869">
      <w:pPr>
        <w:spacing w:after="0" w:line="360" w:lineRule="auto"/>
        <w:ind w:left="1134" w:hanging="425"/>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t>
      </w:r>
      <w:r w:rsidRPr="00A31614">
        <w:rPr>
          <w:rFonts w:ascii="Times New Roman" w:eastAsia="Calibri" w:hAnsi="Times New Roman" w:cs="Times New Roman"/>
          <w:sz w:val="24"/>
          <w:szCs w:val="24"/>
          <w:lang w:eastAsia="en-US"/>
        </w:rPr>
        <w:tab/>
        <w:t>Warstwy I b i II cechują się korzystnymi parametrami geotechnicznymi, natomiast plastyczne piaski gliniaste warstwy I a to grunty o ograniczonej nośności.</w:t>
      </w:r>
    </w:p>
    <w:p w14:paraId="251165E1"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Uwzględniając zalegające grunty w podłożu gruntowym oraz poziom wód gruntowych. Podłoże gruntowe należy zaliczyć do grupy nośności G1/G2. </w:t>
      </w:r>
    </w:p>
    <w:p w14:paraId="277E25A8"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W podłożu przedmiotowej inwestycji występują typowe dla danego obszaru grunty mineralne, w związku z powyższym warunki gruntowe omawianego podłoża należy uznać za proste. Warunki wodne należy uznać za dobre. Obiekt proponuje się zaliczyć do pierwszej kategorii geotechnicznej. </w:t>
      </w:r>
    </w:p>
    <w:p w14:paraId="2D776B5C"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Wnioski zalecenia opinii geotechnicznej.</w:t>
      </w:r>
    </w:p>
    <w:p w14:paraId="595E6D48" w14:textId="77777777" w:rsidR="00A31614" w:rsidRPr="00A31614" w:rsidRDefault="00A31614" w:rsidP="00852869">
      <w:pPr>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Podłoże rodzime w rejonie inwestycji budują średnio zagęszczone piaski drobne oraz od głębokości około 1 m do głębokości rozpoznania plastyczne i twardoplastyczne gliny zwałowe wykształcone w postaci piasków gliniastych.</w:t>
      </w:r>
    </w:p>
    <w:p w14:paraId="16933A3A" w14:textId="77777777" w:rsidR="00A31614" w:rsidRPr="00A31614" w:rsidRDefault="00A31614" w:rsidP="00852869">
      <w:pPr>
        <w:spacing w:after="0" w:line="360" w:lineRule="auto"/>
        <w:ind w:left="1134" w:hanging="425"/>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t>
      </w:r>
      <w:r w:rsidRPr="00A31614">
        <w:rPr>
          <w:rFonts w:ascii="Times New Roman" w:eastAsia="Calibri" w:hAnsi="Times New Roman" w:cs="Times New Roman"/>
          <w:sz w:val="24"/>
          <w:szCs w:val="24"/>
          <w:lang w:eastAsia="en-US"/>
        </w:rPr>
        <w:tab/>
        <w:t>Podczas wierceń terenowych stwierdzono występowania napiętego zwierciadła wody gruntowej w otworze nr 1 na głębokości 3,0 m. Woda stabilizowała się na głębokości 2,0 m p.p.t.</w:t>
      </w:r>
    </w:p>
    <w:p w14:paraId="292D7918" w14:textId="77777777" w:rsidR="00A31614" w:rsidRPr="00A31614" w:rsidRDefault="00A31614" w:rsidP="00852869">
      <w:pPr>
        <w:spacing w:after="0" w:line="360" w:lineRule="auto"/>
        <w:ind w:left="1134" w:hanging="425"/>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t>
      </w:r>
      <w:r w:rsidRPr="00A31614">
        <w:rPr>
          <w:rFonts w:ascii="Times New Roman" w:eastAsia="Calibri" w:hAnsi="Times New Roman" w:cs="Times New Roman"/>
          <w:sz w:val="24"/>
          <w:szCs w:val="24"/>
          <w:lang w:eastAsia="en-US"/>
        </w:rPr>
        <w:tab/>
        <w:t>Nawierzchnia przedmiotowej drogi zbudowana jest z masy smołowej podbudowanej kruszywem łamany i niżej kamieniami polnymi.</w:t>
      </w:r>
    </w:p>
    <w:p w14:paraId="508B6622" w14:textId="77777777" w:rsidR="00A31614" w:rsidRPr="00A31614" w:rsidRDefault="00A31614" w:rsidP="00852869">
      <w:pPr>
        <w:spacing w:after="0" w:line="360" w:lineRule="auto"/>
        <w:ind w:left="1134" w:hanging="425"/>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t>
      </w:r>
      <w:r w:rsidRPr="00A31614">
        <w:rPr>
          <w:rFonts w:ascii="Times New Roman" w:eastAsia="Calibri" w:hAnsi="Times New Roman" w:cs="Times New Roman"/>
          <w:sz w:val="24"/>
          <w:szCs w:val="24"/>
          <w:lang w:eastAsia="en-US"/>
        </w:rPr>
        <w:tab/>
        <w:t>Omawiane podłoże rodzime w strefie rozpoznania budują warstwy o ograniczonej nośności (plastyczne piaski gliniaste warstwy I a) oraz nośne średnio zagęszczone piaski drobne (warstwa II) oraz twardoplastyczne piaski gliniaste warstwy I b. W kontekście planowanej inwestycji warunki gruntowe można uznać za proste</w:t>
      </w:r>
    </w:p>
    <w:p w14:paraId="0EDA0D15" w14:textId="77777777" w:rsidR="00A31614" w:rsidRPr="00A31614" w:rsidRDefault="00A31614" w:rsidP="00852869">
      <w:pPr>
        <w:spacing w:after="0" w:line="360" w:lineRule="auto"/>
        <w:ind w:left="1134" w:hanging="425"/>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t>
      </w:r>
      <w:r w:rsidRPr="00A31614">
        <w:rPr>
          <w:rFonts w:ascii="Times New Roman" w:eastAsia="Calibri" w:hAnsi="Times New Roman" w:cs="Times New Roman"/>
          <w:sz w:val="24"/>
          <w:szCs w:val="24"/>
          <w:lang w:eastAsia="en-US"/>
        </w:rPr>
        <w:tab/>
        <w:t xml:space="preserve">W strefie przemarzania (0,8 m) występują </w:t>
      </w:r>
      <w:proofErr w:type="spellStart"/>
      <w:r w:rsidRPr="00A31614">
        <w:rPr>
          <w:rFonts w:ascii="Times New Roman" w:eastAsia="Calibri" w:hAnsi="Times New Roman" w:cs="Times New Roman"/>
          <w:sz w:val="24"/>
          <w:szCs w:val="24"/>
          <w:lang w:eastAsia="en-US"/>
        </w:rPr>
        <w:t>niewysadzinowe</w:t>
      </w:r>
      <w:proofErr w:type="spellEnd"/>
      <w:r w:rsidRPr="00A31614">
        <w:rPr>
          <w:rFonts w:ascii="Times New Roman" w:eastAsia="Calibri" w:hAnsi="Times New Roman" w:cs="Times New Roman"/>
          <w:sz w:val="24"/>
          <w:szCs w:val="24"/>
          <w:lang w:eastAsia="en-US"/>
        </w:rPr>
        <w:t xml:space="preserve"> piaski drobne. Grupa nośności G1. Warunki wodne są dobre.</w:t>
      </w:r>
    </w:p>
    <w:p w14:paraId="5E34933A" w14:textId="77777777" w:rsidR="00A31614" w:rsidRPr="00A31614" w:rsidRDefault="00A31614" w:rsidP="00852869">
      <w:pPr>
        <w:spacing w:after="0" w:line="360" w:lineRule="auto"/>
        <w:ind w:left="1134" w:hanging="425"/>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t>
      </w:r>
      <w:r w:rsidRPr="00A31614">
        <w:rPr>
          <w:rFonts w:ascii="Times New Roman" w:eastAsia="Calibri" w:hAnsi="Times New Roman" w:cs="Times New Roman"/>
          <w:sz w:val="24"/>
          <w:szCs w:val="24"/>
          <w:lang w:eastAsia="en-US"/>
        </w:rPr>
        <w:tab/>
        <w:t>Zgodnie z Rozporządzeniem Ministra Transportu, Budownictwa i Gospodarki Morskiej z dnia 25 kwietnia 2012 r. w sprawie ustalania geotechnicznych warunków posadowienia obiektów budowlanych kategoria geotechniczna powinna zostać ostatecznie określona przez Projektanta (§4 pkt 4 Rozporządzenia). Proponuje się przyjęcie pierwszej kategorii geotechnicznej,</w:t>
      </w:r>
    </w:p>
    <w:p w14:paraId="2201058B" w14:textId="77777777" w:rsidR="00A31614" w:rsidRPr="00A31614" w:rsidRDefault="00A31614" w:rsidP="00852869">
      <w:pPr>
        <w:spacing w:after="0" w:line="360" w:lineRule="auto"/>
        <w:ind w:left="1134" w:hanging="425"/>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t>
      </w:r>
      <w:r w:rsidRPr="00A31614">
        <w:rPr>
          <w:rFonts w:ascii="Times New Roman" w:eastAsia="Calibri" w:hAnsi="Times New Roman" w:cs="Times New Roman"/>
          <w:sz w:val="24"/>
          <w:szCs w:val="24"/>
          <w:lang w:eastAsia="en-US"/>
        </w:rPr>
        <w:tab/>
        <w:t>Zmienność budowy podłoża (zwłaszcza miąższość i skład nasypów) może być większa niż wynika to z punktowego rozpoznania. Weryfikować należy nośność podłoża (wtórnego modułu odkształcenia E2) z poziomu posadowienia konstrukcji.</w:t>
      </w:r>
    </w:p>
    <w:p w14:paraId="1C3E676F" w14:textId="77777777" w:rsidR="00A31614" w:rsidRPr="00A31614" w:rsidRDefault="00A31614" w:rsidP="00852869">
      <w:pPr>
        <w:spacing w:after="0" w:line="360" w:lineRule="auto"/>
        <w:ind w:left="284"/>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Wartość wtórnego modułu odkształcenia E2 na podłożu dla grupy nośności G2 nie powinna być mniejsza niż 50MPa, natomiast dla grupy nośności G1 nie powinna być mniejsza niż 80MPa. W przypadku niskich parametrów nośności koniczne jest zastosowanie dodatkowej warstwy wzmocnienia. Na warstwę podbudowy zasadniczej należy zastosować mieszankę niezwiązaną z kruszywem C90/3.</w:t>
      </w:r>
    </w:p>
    <w:p w14:paraId="2112E12C" w14:textId="77777777" w:rsidR="00A31614" w:rsidRPr="00A31614" w:rsidRDefault="00A31614" w:rsidP="00852869">
      <w:pPr>
        <w:spacing w:after="0" w:line="360" w:lineRule="auto"/>
        <w:ind w:left="284"/>
        <w:jc w:val="both"/>
        <w:rPr>
          <w:rFonts w:ascii="Times New Roman" w:eastAsia="Calibri" w:hAnsi="Times New Roman" w:cs="Times New Roman"/>
          <w:sz w:val="24"/>
          <w:szCs w:val="24"/>
          <w:highlight w:val="yellow"/>
          <w:lang w:eastAsia="en-US"/>
        </w:rPr>
      </w:pPr>
      <w:r w:rsidRPr="00A31614">
        <w:rPr>
          <w:rFonts w:ascii="Times New Roman" w:eastAsia="Calibri" w:hAnsi="Times New Roman" w:cs="Times New Roman"/>
          <w:sz w:val="24"/>
          <w:szCs w:val="24"/>
          <w:lang w:eastAsia="en-US"/>
        </w:rPr>
        <w:t xml:space="preserve">Z uwagi na liniowy charakter inwestycji zmienność budowy podłoża może być większa niż wynika to z punktowego rozpoznania. Weryfikować należy nośność podłoża (wartości wtórnego modułu odkształcenia E2), która przyjęta została na podstawie kryterium </w:t>
      </w:r>
      <w:proofErr w:type="spellStart"/>
      <w:r w:rsidRPr="00A31614">
        <w:rPr>
          <w:rFonts w:ascii="Times New Roman" w:eastAsia="Calibri" w:hAnsi="Times New Roman" w:cs="Times New Roman"/>
          <w:sz w:val="24"/>
          <w:szCs w:val="24"/>
          <w:lang w:eastAsia="en-US"/>
        </w:rPr>
        <w:t>wysadzinowości</w:t>
      </w:r>
      <w:proofErr w:type="spellEnd"/>
      <w:r w:rsidRPr="00A31614">
        <w:rPr>
          <w:rFonts w:ascii="Times New Roman" w:eastAsia="Calibri" w:hAnsi="Times New Roman" w:cs="Times New Roman"/>
          <w:sz w:val="24"/>
          <w:szCs w:val="24"/>
          <w:lang w:eastAsia="en-US"/>
        </w:rPr>
        <w:t xml:space="preserve"> i warunków wodnych. We wszystkich wątpliwych sytuacjach należy wzmocnić podłoże gruntowe doprowadzając do wymaganych parametrów nośności pod projektowaną konstrukcję nawierzchni.</w:t>
      </w:r>
    </w:p>
    <w:p w14:paraId="6C551246" w14:textId="77777777" w:rsidR="00A31614" w:rsidRPr="00A31614" w:rsidRDefault="00A31614" w:rsidP="00852869">
      <w:pPr>
        <w:spacing w:after="0" w:line="360" w:lineRule="auto"/>
        <w:ind w:left="709" w:hanging="425"/>
        <w:jc w:val="both"/>
        <w:rPr>
          <w:rFonts w:ascii="Times New Roman" w:eastAsia="Calibri" w:hAnsi="Times New Roman" w:cs="Times New Roman"/>
          <w:sz w:val="24"/>
          <w:szCs w:val="24"/>
          <w:highlight w:val="yellow"/>
          <w:lang w:eastAsia="en-US"/>
        </w:rPr>
      </w:pPr>
    </w:p>
    <w:p w14:paraId="16AAF79A" w14:textId="77777777" w:rsidR="00A31614" w:rsidRPr="00A31614" w:rsidRDefault="00A31614" w:rsidP="00852869">
      <w:pPr>
        <w:keepNext/>
        <w:keepLines/>
        <w:spacing w:after="0" w:line="360" w:lineRule="auto"/>
        <w:jc w:val="both"/>
        <w:outlineLvl w:val="1"/>
        <w:rPr>
          <w:rFonts w:ascii="Times New Roman" w:eastAsia="MS Gothic" w:hAnsi="Times New Roman" w:cs="Times New Roman"/>
          <w:b/>
          <w:sz w:val="24"/>
          <w:szCs w:val="24"/>
          <w:lang w:eastAsia="en-US"/>
        </w:rPr>
      </w:pPr>
      <w:bookmarkStart w:id="21" w:name="_Toc167730745"/>
      <w:r w:rsidRPr="00A31614">
        <w:rPr>
          <w:rFonts w:ascii="Times New Roman" w:eastAsia="MS Gothic" w:hAnsi="Times New Roman" w:cs="Times New Roman"/>
          <w:b/>
          <w:sz w:val="24"/>
          <w:szCs w:val="24"/>
          <w:lang w:eastAsia="en-US"/>
        </w:rPr>
        <w:t>Sposób posadowienia obiektu budowlanego</w:t>
      </w:r>
      <w:bookmarkEnd w:id="21"/>
    </w:p>
    <w:p w14:paraId="37E97F46" w14:textId="77777777" w:rsidR="00A31614" w:rsidRPr="00A31614" w:rsidRDefault="00A31614" w:rsidP="00852869">
      <w:pPr>
        <w:spacing w:after="0" w:line="360" w:lineRule="auto"/>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W celu prawidłowego wykonania konstrukcji poszerzeń nawierzchni należy zastosować warstwę odcinającą z mieszanki gruntu stabilizowanego cementem. Podczas wierceń terenowych stwierdzono występowania napiętego zwierciadła wody gruntowej w otworze nr 1 na głębokości 3,0 m. Woda stabilizowała się na głębokości 2,0 m p.p.t. Warunki wodne są dobre.</w:t>
      </w:r>
    </w:p>
    <w:p w14:paraId="13C48057" w14:textId="77777777" w:rsidR="00A31614" w:rsidRPr="00A31614" w:rsidRDefault="00A31614" w:rsidP="00852869">
      <w:pPr>
        <w:spacing w:after="0" w:line="360" w:lineRule="auto"/>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Po zdjęciu warstw konstrukcyjnych – nawierzchni i podbudowy należy określić każdorazowo nośność podłoża pod konstrukcje nawierzchni. W każdym przypadku napotkania grupy nośności G4 – oznaczonej na podstawie wtórnego modułu odkształcenia, gdzie E2&gt;25MPa należy wykonać– należy wykonać warstwę wzmocnienia poprzez stabilizację spoiwami hydraulicznymi lub wymianę warstw gruntów </w:t>
      </w:r>
      <w:proofErr w:type="spellStart"/>
      <w:r w:rsidRPr="00A31614">
        <w:rPr>
          <w:rFonts w:ascii="Times New Roman" w:eastAsia="Calibri" w:hAnsi="Times New Roman" w:cs="Times New Roman"/>
          <w:sz w:val="24"/>
          <w:szCs w:val="24"/>
          <w:lang w:eastAsia="en-US"/>
        </w:rPr>
        <w:t>wysadzinowych</w:t>
      </w:r>
      <w:proofErr w:type="spellEnd"/>
      <w:r w:rsidRPr="00A31614">
        <w:rPr>
          <w:rFonts w:ascii="Times New Roman" w:eastAsia="Calibri" w:hAnsi="Times New Roman" w:cs="Times New Roman"/>
          <w:sz w:val="24"/>
          <w:szCs w:val="24"/>
          <w:lang w:eastAsia="en-US"/>
        </w:rPr>
        <w:t xml:space="preserve"> na grunty niespoiste przydatne do budowy nasypów zgodnie z wymaganiami PN-S-02205:1998 doprowadzając podłoże gruntowe pod warstwę projektowanej konstrukcji nawierzchni do nośności określonej za pomocą wtórnego modułu odkształcenia E2&gt;80MPa oraz minimalny wskaźnik zagęszczenia </w:t>
      </w:r>
      <w:proofErr w:type="spellStart"/>
      <w:r w:rsidRPr="00A31614">
        <w:rPr>
          <w:rFonts w:ascii="Times New Roman" w:eastAsia="Calibri" w:hAnsi="Times New Roman" w:cs="Times New Roman"/>
          <w:sz w:val="24"/>
          <w:szCs w:val="24"/>
          <w:lang w:eastAsia="en-US"/>
        </w:rPr>
        <w:t>Is</w:t>
      </w:r>
      <w:proofErr w:type="spellEnd"/>
      <w:r w:rsidRPr="00A31614">
        <w:rPr>
          <w:rFonts w:ascii="Times New Roman" w:eastAsia="Calibri" w:hAnsi="Times New Roman" w:cs="Times New Roman"/>
          <w:sz w:val="24"/>
          <w:szCs w:val="24"/>
          <w:lang w:eastAsia="en-US"/>
        </w:rPr>
        <w:t>=1,0 pod zaprojektowaną warstwę podbudowy.</w:t>
      </w:r>
    </w:p>
    <w:p w14:paraId="747C5043" w14:textId="77777777" w:rsidR="00A31614" w:rsidRPr="00A31614" w:rsidRDefault="00A31614" w:rsidP="00852869">
      <w:pPr>
        <w:spacing w:after="0" w:line="360" w:lineRule="auto"/>
        <w:contextualSpacing/>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Sprawdzenie zagęszczenia gruntu zasypowego polega na skontrolowaniu zgodności osiągniętych wartości wskaźnika zagęszczenia </w:t>
      </w:r>
      <w:proofErr w:type="spellStart"/>
      <w:r w:rsidRPr="00A31614">
        <w:rPr>
          <w:rFonts w:ascii="Times New Roman" w:eastAsia="Calibri" w:hAnsi="Times New Roman" w:cs="Times New Roman"/>
          <w:sz w:val="24"/>
          <w:szCs w:val="24"/>
          <w:lang w:eastAsia="en-US"/>
        </w:rPr>
        <w:t>Is</w:t>
      </w:r>
      <w:proofErr w:type="spellEnd"/>
      <w:r w:rsidRPr="00A31614">
        <w:rPr>
          <w:rFonts w:ascii="Times New Roman" w:eastAsia="Calibri" w:hAnsi="Times New Roman" w:cs="Times New Roman"/>
          <w:sz w:val="24"/>
          <w:szCs w:val="24"/>
          <w:lang w:eastAsia="en-US"/>
        </w:rPr>
        <w:t xml:space="preserve"> z wartością wymaganą lub stopień zagęszczenia oraz modułu wtórnego E2 dla ostatniej warstwy, stanowiącej podłoże pod konstrukcję. Wymagana częstotliwość pomiarów wskaźnika zagęszczenia </w:t>
      </w:r>
      <w:proofErr w:type="spellStart"/>
      <w:r w:rsidRPr="00A31614">
        <w:rPr>
          <w:rFonts w:ascii="Times New Roman" w:eastAsia="Calibri" w:hAnsi="Times New Roman" w:cs="Times New Roman"/>
          <w:sz w:val="24"/>
          <w:szCs w:val="24"/>
          <w:lang w:eastAsia="en-US"/>
        </w:rPr>
        <w:t>Is</w:t>
      </w:r>
      <w:proofErr w:type="spellEnd"/>
      <w:r w:rsidRPr="00A31614">
        <w:rPr>
          <w:rFonts w:ascii="Times New Roman" w:eastAsia="Calibri" w:hAnsi="Times New Roman" w:cs="Times New Roman"/>
          <w:sz w:val="24"/>
          <w:szCs w:val="24"/>
          <w:lang w:eastAsia="en-US"/>
        </w:rPr>
        <w:t> oraz modułu wtórnego E2 jest opisana w normie PN-S-02205:1998.</w:t>
      </w:r>
    </w:p>
    <w:p w14:paraId="601FFF31" w14:textId="77777777" w:rsidR="00A31614" w:rsidRPr="00A31614" w:rsidRDefault="00A31614" w:rsidP="00852869">
      <w:pPr>
        <w:keepNext/>
        <w:tabs>
          <w:tab w:val="left" w:pos="284"/>
          <w:tab w:val="left" w:pos="3614"/>
          <w:tab w:val="left" w:pos="8363"/>
        </w:tabs>
        <w:autoSpaceDE w:val="0"/>
        <w:autoSpaceDN w:val="0"/>
        <w:adjustRightInd w:val="0"/>
        <w:spacing w:after="0" w:line="360" w:lineRule="auto"/>
        <w:jc w:val="both"/>
        <w:outlineLvl w:val="0"/>
        <w:rPr>
          <w:rFonts w:ascii="Times New Roman" w:hAnsi="Times New Roman" w:cs="Times New Roman"/>
          <w:b/>
          <w:bCs/>
          <w:sz w:val="24"/>
          <w:szCs w:val="24"/>
        </w:rPr>
      </w:pPr>
      <w:bookmarkStart w:id="22" w:name="_Toc93420755"/>
      <w:bookmarkStart w:id="23" w:name="_Toc167730746"/>
      <w:r w:rsidRPr="00A31614">
        <w:rPr>
          <w:rFonts w:ascii="Times New Roman" w:hAnsi="Times New Roman" w:cs="Times New Roman"/>
          <w:b/>
          <w:bCs/>
          <w:sz w:val="24"/>
          <w:szCs w:val="24"/>
        </w:rPr>
        <w:t>DOKUMENTACJA GEOLOGICZNO-INŻYNIERSKA</w:t>
      </w:r>
      <w:bookmarkEnd w:id="22"/>
      <w:r w:rsidRPr="00A31614">
        <w:rPr>
          <w:rFonts w:ascii="Times New Roman" w:hAnsi="Times New Roman" w:cs="Times New Roman"/>
          <w:b/>
          <w:bCs/>
          <w:sz w:val="24"/>
          <w:szCs w:val="24"/>
        </w:rPr>
        <w:t>.</w:t>
      </w:r>
      <w:bookmarkEnd w:id="23"/>
    </w:p>
    <w:p w14:paraId="468DE786" w14:textId="77777777" w:rsidR="00A31614" w:rsidRPr="00A31614" w:rsidRDefault="00A31614" w:rsidP="00852869">
      <w:pPr>
        <w:tabs>
          <w:tab w:val="left" w:pos="284"/>
        </w:tabs>
        <w:spacing w:after="0" w:line="360" w:lineRule="auto"/>
        <w:jc w:val="both"/>
        <w:rPr>
          <w:rFonts w:ascii="Times New Roman" w:eastAsia="Calibri" w:hAnsi="Times New Roman" w:cs="Times New Roman"/>
          <w:sz w:val="24"/>
          <w:szCs w:val="24"/>
          <w:lang w:eastAsia="en-US"/>
        </w:rPr>
      </w:pPr>
      <w:r w:rsidRPr="00A31614">
        <w:rPr>
          <w:rFonts w:ascii="Times New Roman" w:eastAsia="Calibri" w:hAnsi="Times New Roman" w:cs="Times New Roman"/>
          <w:sz w:val="24"/>
          <w:szCs w:val="24"/>
          <w:lang w:eastAsia="en-US"/>
        </w:rPr>
        <w:t xml:space="preserve">W ramach niniejszego opracowania nie zachodzi potrzeba dla opracowania szczegółowej dokumentacji </w:t>
      </w:r>
      <w:proofErr w:type="spellStart"/>
      <w:r w:rsidRPr="00A31614">
        <w:rPr>
          <w:rFonts w:ascii="Times New Roman" w:eastAsia="Calibri" w:hAnsi="Times New Roman" w:cs="Times New Roman"/>
          <w:sz w:val="24"/>
          <w:szCs w:val="24"/>
          <w:lang w:eastAsia="en-US"/>
        </w:rPr>
        <w:t>geologiczno</w:t>
      </w:r>
      <w:proofErr w:type="spellEnd"/>
      <w:r w:rsidRPr="00A31614">
        <w:rPr>
          <w:rFonts w:ascii="Times New Roman" w:eastAsia="Calibri" w:hAnsi="Times New Roman" w:cs="Times New Roman"/>
          <w:sz w:val="24"/>
          <w:szCs w:val="24"/>
          <w:lang w:eastAsia="en-US"/>
        </w:rPr>
        <w:t xml:space="preserve"> - inżynierskiej.</w:t>
      </w:r>
    </w:p>
    <w:p w14:paraId="4CF7C8A9" w14:textId="77777777" w:rsidR="00A31614" w:rsidRPr="00A31614" w:rsidRDefault="00A31614" w:rsidP="00852869">
      <w:pPr>
        <w:keepNext/>
        <w:tabs>
          <w:tab w:val="left" w:pos="284"/>
          <w:tab w:val="left" w:pos="3614"/>
          <w:tab w:val="left" w:pos="8363"/>
        </w:tabs>
        <w:autoSpaceDE w:val="0"/>
        <w:autoSpaceDN w:val="0"/>
        <w:adjustRightInd w:val="0"/>
        <w:spacing w:after="0" w:line="360" w:lineRule="auto"/>
        <w:jc w:val="both"/>
        <w:outlineLvl w:val="0"/>
        <w:rPr>
          <w:rFonts w:ascii="Times New Roman" w:hAnsi="Times New Roman" w:cs="Times New Roman"/>
          <w:b/>
          <w:bCs/>
          <w:sz w:val="24"/>
          <w:szCs w:val="24"/>
        </w:rPr>
      </w:pPr>
      <w:bookmarkStart w:id="24" w:name="_Toc93420776"/>
      <w:bookmarkStart w:id="25" w:name="_Toc167730747"/>
      <w:r w:rsidRPr="00A31614">
        <w:rPr>
          <w:rFonts w:ascii="Times New Roman" w:hAnsi="Times New Roman" w:cs="Times New Roman"/>
          <w:b/>
          <w:bCs/>
          <w:sz w:val="24"/>
          <w:szCs w:val="24"/>
        </w:rPr>
        <w:t>DANE DOTYCZACE WARUNKÓW OCHRONY PRZECIWPOŻAROWEJ, STOSOWANE DO ZAKRESU PROJEKTU</w:t>
      </w:r>
      <w:bookmarkEnd w:id="24"/>
      <w:r w:rsidRPr="00A31614">
        <w:rPr>
          <w:rFonts w:ascii="Times New Roman" w:hAnsi="Times New Roman" w:cs="Times New Roman"/>
          <w:b/>
          <w:bCs/>
          <w:sz w:val="24"/>
          <w:szCs w:val="24"/>
        </w:rPr>
        <w:t>.</w:t>
      </w:r>
      <w:bookmarkEnd w:id="25"/>
    </w:p>
    <w:p w14:paraId="58D9D216" w14:textId="77777777" w:rsidR="00A31614" w:rsidRPr="00A31614" w:rsidRDefault="00A31614" w:rsidP="00852869">
      <w:pPr>
        <w:spacing w:after="0" w:line="360" w:lineRule="auto"/>
        <w:jc w:val="both"/>
        <w:rPr>
          <w:rFonts w:ascii="Times New Roman" w:eastAsia="Calibri" w:hAnsi="Times New Roman" w:cs="Times New Roman"/>
          <w:sz w:val="24"/>
          <w:szCs w:val="24"/>
        </w:rPr>
      </w:pPr>
      <w:r w:rsidRPr="00A31614">
        <w:rPr>
          <w:rFonts w:ascii="Times New Roman" w:eastAsia="Calibri" w:hAnsi="Times New Roman" w:cs="Times New Roman"/>
          <w:sz w:val="24"/>
          <w:szCs w:val="24"/>
          <w:lang w:eastAsia="en-US"/>
        </w:rPr>
        <w:t xml:space="preserve">Zgodnie z Rozporządzeniem Ministra Spraw Wewnętrznych i Administracji z dnia 17września 2021 r. w sprawie uzgadniania projektu zagospodarowania działki lub terenu, projektu architektoniczno-budowlanego, projektu technicznego oraz projektu urządzenia przeciwpożarowego pod względem zgodności z wymaganiami ochrony przeciwpożarowej  (Dz.U. 2021 poz. 1722) </w:t>
      </w:r>
      <w:r w:rsidRPr="00A31614">
        <w:rPr>
          <w:rFonts w:ascii="Times New Roman" w:eastAsia="Calibri" w:hAnsi="Times New Roman" w:cs="Times New Roman"/>
          <w:b/>
          <w:sz w:val="24"/>
          <w:szCs w:val="24"/>
          <w:lang w:eastAsia="en-US"/>
        </w:rPr>
        <w:t>projekt nie wymaga uzgodnienia pod względem ochrony przeciwpożarowej.</w:t>
      </w:r>
    </w:p>
    <w:p w14:paraId="425118BD" w14:textId="77777777" w:rsidR="00532AFE" w:rsidRPr="00852869" w:rsidRDefault="00532AFE" w:rsidP="00852869">
      <w:pPr>
        <w:pStyle w:val="Akapitzlist"/>
        <w:autoSpaceDE w:val="0"/>
        <w:autoSpaceDN w:val="0"/>
        <w:adjustRightInd w:val="0"/>
        <w:spacing w:after="0" w:line="360" w:lineRule="auto"/>
        <w:ind w:left="435"/>
        <w:rPr>
          <w:rFonts w:eastAsia="CIDFont+F3"/>
        </w:rPr>
      </w:pPr>
    </w:p>
    <w:p w14:paraId="03F23762" w14:textId="77777777" w:rsidR="00476AB8" w:rsidRPr="00852869" w:rsidRDefault="00476AB8" w:rsidP="00852869">
      <w:pPr>
        <w:pStyle w:val="Akapitzlist"/>
        <w:autoSpaceDE w:val="0"/>
        <w:autoSpaceDN w:val="0"/>
        <w:adjustRightInd w:val="0"/>
        <w:spacing w:after="0" w:line="360" w:lineRule="auto"/>
        <w:rPr>
          <w:rFonts w:eastAsia="CIDFont+F3"/>
        </w:rPr>
      </w:pPr>
    </w:p>
    <w:p w14:paraId="30E6C130" w14:textId="14C425E1" w:rsidR="00C907D9"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sz w:val="24"/>
          <w:szCs w:val="24"/>
        </w:rPr>
        <w:t xml:space="preserve">Zadanie realizowane jest na podstawie dokumentacji projektowej, co do której w dniu </w:t>
      </w:r>
      <w:r w:rsidR="00532AFE" w:rsidRPr="00852869">
        <w:rPr>
          <w:rFonts w:ascii="Times New Roman" w:hAnsi="Times New Roman" w:cs="Times New Roman"/>
          <w:sz w:val="24"/>
          <w:szCs w:val="24"/>
        </w:rPr>
        <w:t>02.12.2021</w:t>
      </w:r>
      <w:r w:rsidRPr="00852869">
        <w:rPr>
          <w:rFonts w:ascii="Times New Roman" w:hAnsi="Times New Roman" w:cs="Times New Roman"/>
          <w:sz w:val="24"/>
          <w:szCs w:val="24"/>
        </w:rPr>
        <w:t xml:space="preserve"> r. nie wniesiono sprzeciwu.</w:t>
      </w:r>
    </w:p>
    <w:p w14:paraId="2B4A41DD" w14:textId="77777777" w:rsidR="00C907D9" w:rsidRPr="00852869" w:rsidRDefault="00C907D9" w:rsidP="00852869">
      <w:pPr>
        <w:pStyle w:val="Bezodstpw"/>
        <w:spacing w:line="360" w:lineRule="auto"/>
        <w:ind w:left="426"/>
        <w:jc w:val="both"/>
        <w:rPr>
          <w:rFonts w:ascii="Times New Roman" w:hAnsi="Times New Roman" w:cs="Times New Roman"/>
          <w:sz w:val="24"/>
          <w:szCs w:val="24"/>
        </w:rPr>
      </w:pPr>
    </w:p>
    <w:p w14:paraId="348362C0" w14:textId="41206C40" w:rsidR="00C907D9"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sz w:val="24"/>
          <w:szCs w:val="24"/>
        </w:rPr>
        <w:t xml:space="preserve">Zakres robót - zgodny z dokumentacją projektową. </w:t>
      </w:r>
    </w:p>
    <w:p w14:paraId="57942690" w14:textId="77777777" w:rsidR="00C907D9" w:rsidRPr="00852869" w:rsidRDefault="00C907D9" w:rsidP="00852869">
      <w:pPr>
        <w:pStyle w:val="Bezodstpw"/>
        <w:spacing w:line="360" w:lineRule="auto"/>
        <w:jc w:val="both"/>
        <w:rPr>
          <w:rFonts w:ascii="Times New Roman" w:hAnsi="Times New Roman" w:cs="Times New Roman"/>
          <w:sz w:val="24"/>
          <w:szCs w:val="24"/>
        </w:rPr>
      </w:pPr>
    </w:p>
    <w:p w14:paraId="237DF74F" w14:textId="1CD7CEFE" w:rsidR="00C907D9"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sz w:val="24"/>
          <w:szCs w:val="24"/>
        </w:rPr>
        <w:t>Przedmiotowe zadanie dofinansowane jest ze środków pochodzących z Rządowego Funduszu Polski Ład; Program Inwestycji Strategicznych</w:t>
      </w:r>
      <w:r w:rsidR="00532AFE" w:rsidRPr="00852869">
        <w:rPr>
          <w:rFonts w:ascii="Times New Roman" w:hAnsi="Times New Roman" w:cs="Times New Roman"/>
          <w:sz w:val="24"/>
          <w:szCs w:val="24"/>
        </w:rPr>
        <w:t>.</w:t>
      </w:r>
    </w:p>
    <w:p w14:paraId="32855E94" w14:textId="77777777" w:rsidR="00C907D9" w:rsidRPr="00852869" w:rsidRDefault="00C907D9" w:rsidP="00852869">
      <w:pPr>
        <w:pStyle w:val="Akapitzlist"/>
        <w:spacing w:after="0" w:line="360" w:lineRule="auto"/>
        <w:rPr>
          <w:bCs/>
          <w:iCs/>
          <w:spacing w:val="4"/>
        </w:rPr>
      </w:pPr>
    </w:p>
    <w:p w14:paraId="2B8A32F0" w14:textId="5ED5ED32" w:rsidR="00C907D9"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bCs/>
          <w:iCs/>
          <w:spacing w:val="4"/>
          <w:sz w:val="24"/>
          <w:szCs w:val="24"/>
        </w:rPr>
        <w:t xml:space="preserve">Zadanie realizowane jest na podstawie dokumentacji projektowej, pomocniczo </w:t>
      </w:r>
      <w:r w:rsidR="00EA4168" w:rsidRPr="00852869">
        <w:rPr>
          <w:rFonts w:ascii="Times New Roman" w:hAnsi="Times New Roman" w:cs="Times New Roman"/>
          <w:bCs/>
          <w:iCs/>
          <w:spacing w:val="4"/>
          <w:sz w:val="24"/>
          <w:szCs w:val="24"/>
        </w:rPr>
        <w:br/>
      </w:r>
      <w:r w:rsidRPr="00852869">
        <w:rPr>
          <w:rFonts w:ascii="Times New Roman" w:hAnsi="Times New Roman" w:cs="Times New Roman"/>
          <w:bCs/>
          <w:iCs/>
          <w:spacing w:val="4"/>
          <w:sz w:val="24"/>
          <w:szCs w:val="24"/>
        </w:rPr>
        <w:t>w przedmiarach robót. Prace musza być wykonane zgodnie z obowiązującymi przepisami</w:t>
      </w:r>
      <w:r w:rsidR="00EA4168" w:rsidRPr="00852869">
        <w:rPr>
          <w:rFonts w:ascii="Times New Roman" w:hAnsi="Times New Roman" w:cs="Times New Roman"/>
          <w:bCs/>
          <w:iCs/>
          <w:spacing w:val="4"/>
          <w:sz w:val="24"/>
          <w:szCs w:val="24"/>
        </w:rPr>
        <w:t xml:space="preserve"> </w:t>
      </w:r>
      <w:r w:rsidRPr="00852869">
        <w:rPr>
          <w:rFonts w:ascii="Times New Roman" w:hAnsi="Times New Roman" w:cs="Times New Roman"/>
          <w:bCs/>
          <w:iCs/>
          <w:spacing w:val="4"/>
          <w:sz w:val="24"/>
          <w:szCs w:val="24"/>
        </w:rPr>
        <w:t xml:space="preserve">i normami. </w:t>
      </w:r>
    </w:p>
    <w:p w14:paraId="6FD0F1E2" w14:textId="77777777" w:rsidR="00C907D9" w:rsidRPr="00852869" w:rsidRDefault="00C907D9" w:rsidP="00852869">
      <w:pPr>
        <w:pStyle w:val="Akapitzlist"/>
        <w:spacing w:after="0" w:line="360" w:lineRule="auto"/>
      </w:pPr>
    </w:p>
    <w:p w14:paraId="19BC58B2" w14:textId="77777777" w:rsidR="00C907D9"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sz w:val="24"/>
          <w:szCs w:val="24"/>
        </w:rPr>
        <w:t xml:space="preserve">Po stronie Wykonawcy leży zapewnienie dostawy mediów do celów związanych </w:t>
      </w:r>
      <w:r w:rsidRPr="00852869">
        <w:rPr>
          <w:rFonts w:ascii="Times New Roman" w:hAnsi="Times New Roman" w:cs="Times New Roman"/>
          <w:sz w:val="24"/>
          <w:szCs w:val="24"/>
        </w:rPr>
        <w:br/>
        <w:t>z wykonywaniem robót budowlanych, jak również utylizacja elementów, które uległy rozbiórce.</w:t>
      </w:r>
    </w:p>
    <w:p w14:paraId="69A37476" w14:textId="77777777" w:rsidR="00C907D9" w:rsidRPr="00852869" w:rsidRDefault="00C907D9" w:rsidP="00852869">
      <w:pPr>
        <w:pStyle w:val="Akapitzlist"/>
        <w:spacing w:after="0" w:line="360" w:lineRule="auto"/>
      </w:pPr>
    </w:p>
    <w:p w14:paraId="0DAE5319" w14:textId="4FF98E86" w:rsidR="00C907D9"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sz w:val="24"/>
          <w:szCs w:val="24"/>
        </w:rPr>
        <w:t>Wykonawca jest zobowiązany również do wykonania wszelkich prac nie ujętych w SWZ oraz projekcie wykonawczym, a bez których nie można wykonać zamówienia, w tym: wszelkie roboty przygotowawcze, porządkowe, wszelkie naprawy, zorganizowanie</w:t>
      </w:r>
      <w:r w:rsidR="00EA4168" w:rsidRPr="00852869">
        <w:rPr>
          <w:rFonts w:ascii="Times New Roman" w:hAnsi="Times New Roman" w:cs="Times New Roman"/>
          <w:sz w:val="24"/>
          <w:szCs w:val="24"/>
        </w:rPr>
        <w:br/>
      </w:r>
      <w:r w:rsidRPr="00852869">
        <w:rPr>
          <w:rFonts w:ascii="Times New Roman" w:hAnsi="Times New Roman" w:cs="Times New Roman"/>
          <w:sz w:val="24"/>
          <w:szCs w:val="24"/>
        </w:rPr>
        <w:t xml:space="preserve">i utrzymanie zaplecza budowy, zaopatrzenie w wodę, energię elektryczną itp., dozorowanie budowy, sporządzenie planu BIOZ, ewentualne zajęcia i opłaty innych terenów wchodzących w proces inwestycyjny, zagospodarowanie i transport odpadów, transport materiałów z rozbiórki we wskazane przez Zamawiającego miejsce w odległości do 10 km od miejsca prowadzenia robót (jeżeli dotyczy) oraz inne czynności niezbędne </w:t>
      </w:r>
      <w:r w:rsidR="00EA4168" w:rsidRPr="00852869">
        <w:rPr>
          <w:rFonts w:ascii="Times New Roman" w:hAnsi="Times New Roman" w:cs="Times New Roman"/>
          <w:sz w:val="24"/>
          <w:szCs w:val="24"/>
        </w:rPr>
        <w:br/>
      </w:r>
      <w:r w:rsidRPr="00852869">
        <w:rPr>
          <w:rFonts w:ascii="Times New Roman" w:hAnsi="Times New Roman" w:cs="Times New Roman"/>
          <w:sz w:val="24"/>
          <w:szCs w:val="24"/>
        </w:rPr>
        <w:t>i konieczne do kompleksowego wykonania Przedmiotu Umowy. Roboty należy prowadzić z zachowaniem wszelkich warunków ostrożności i bezpieczeństwa, aby nie spowodować zagrożenia dla bezpieczeństwa ludzi i mienia zgodnie z wytycznymi zawartymi w Informacji Bezpieczeństwa i Ochrony Zdrowia na budowie zawartymi w dokumentacji projektowej.</w:t>
      </w:r>
    </w:p>
    <w:p w14:paraId="73B69356" w14:textId="77777777" w:rsidR="00C907D9" w:rsidRPr="00852869" w:rsidRDefault="00C907D9" w:rsidP="00852869">
      <w:pPr>
        <w:pStyle w:val="Akapitzlist"/>
        <w:spacing w:after="0" w:line="360" w:lineRule="auto"/>
      </w:pPr>
    </w:p>
    <w:p w14:paraId="67575704" w14:textId="5199A07A" w:rsidR="00476AB8"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sz w:val="24"/>
          <w:szCs w:val="24"/>
        </w:rPr>
        <w:t xml:space="preserve">Po zakończeniu robót Wykonawca zobowiązany jest przekazać dokumentacje powykonawczą oraz uzyskać protokół odbioru od wszystkich zarządców dróg i gestorów sieci. Przedłożona dokumentacja ma być kompletna i umożliwiająca oddanie do użytkowania drogi zgodnie z przepisami  ustawy z dnia 7 lipca 1994 r. Prawo Budowlane. </w:t>
      </w:r>
    </w:p>
    <w:p w14:paraId="1CB218DC" w14:textId="77777777" w:rsidR="00476AB8" w:rsidRPr="00852869" w:rsidRDefault="00476AB8" w:rsidP="00852869">
      <w:pPr>
        <w:pStyle w:val="Bezodstpw"/>
        <w:spacing w:line="360" w:lineRule="auto"/>
        <w:ind w:left="426"/>
        <w:jc w:val="both"/>
        <w:rPr>
          <w:rFonts w:ascii="Times New Roman" w:hAnsi="Times New Roman" w:cs="Times New Roman"/>
          <w:bCs/>
          <w:sz w:val="24"/>
          <w:szCs w:val="24"/>
        </w:rPr>
      </w:pPr>
    </w:p>
    <w:p w14:paraId="666E3E44" w14:textId="77777777" w:rsidR="005729F1" w:rsidRPr="00852869" w:rsidRDefault="005729F1" w:rsidP="00852869">
      <w:pPr>
        <w:spacing w:after="0" w:line="360" w:lineRule="auto"/>
        <w:rPr>
          <w:rFonts w:ascii="Times New Roman" w:hAnsi="Times New Roman" w:cs="Times New Roman"/>
          <w:sz w:val="24"/>
          <w:szCs w:val="24"/>
        </w:rPr>
      </w:pPr>
    </w:p>
    <w:sectPr w:rsidR="005729F1" w:rsidRPr="008528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CIDFont+F3">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2443F"/>
    <w:multiLevelType w:val="hybridMultilevel"/>
    <w:tmpl w:val="ECC4D8C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0B5B5AEB"/>
    <w:multiLevelType w:val="hybridMultilevel"/>
    <w:tmpl w:val="8AFA3EEC"/>
    <w:lvl w:ilvl="0" w:tplc="30CEBAEC">
      <w:start w:val="1"/>
      <w:numFmt w:val="lowerLetter"/>
      <w:lvlText w:val="%1)"/>
      <w:lvlJc w:val="left"/>
      <w:pPr>
        <w:ind w:left="720" w:hanging="360"/>
      </w:pPr>
      <w:rPr>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23658BA"/>
    <w:multiLevelType w:val="hybridMultilevel"/>
    <w:tmpl w:val="7D8A9158"/>
    <w:lvl w:ilvl="0" w:tplc="7B26D3D8">
      <w:start w:val="1"/>
      <w:numFmt w:val="decimal"/>
      <w:lvlText w:val="%1."/>
      <w:lvlJc w:val="left"/>
      <w:pPr>
        <w:ind w:left="720" w:hanging="360"/>
      </w:pPr>
      <w:rPr>
        <w:rFonts w:ascii="Times New Roman" w:eastAsia="Times New Roman" w:hAnsi="Times New Roman" w:cs="Times New Roman" w:hint="default"/>
        <w:b w:val="0"/>
      </w:rPr>
    </w:lvl>
    <w:lvl w:ilvl="1" w:tplc="B9DE0924">
      <w:start w:val="1"/>
      <w:numFmt w:val="decimal"/>
      <w:lvlText w:val="%2)"/>
      <w:lvlJc w:val="left"/>
      <w:pPr>
        <w:ind w:left="1740" w:hanging="6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63F1751"/>
    <w:multiLevelType w:val="hybridMultilevel"/>
    <w:tmpl w:val="AE9ADA52"/>
    <w:lvl w:ilvl="0" w:tplc="3FFC1B40">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 w15:restartNumberingAfterBreak="0">
    <w:nsid w:val="166C6619"/>
    <w:multiLevelType w:val="hybridMultilevel"/>
    <w:tmpl w:val="CD70DF54"/>
    <w:lvl w:ilvl="0" w:tplc="649A004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C48219C"/>
    <w:multiLevelType w:val="multilevel"/>
    <w:tmpl w:val="05AACB14"/>
    <w:lvl w:ilvl="0">
      <w:start w:val="1"/>
      <w:numFmt w:val="decimal"/>
      <w:lvlText w:val="%1."/>
      <w:lvlJc w:val="left"/>
      <w:pPr>
        <w:ind w:left="720" w:hanging="360"/>
      </w:pPr>
      <w:rPr>
        <w:rFonts w:hint="default"/>
        <w:b w:val="0"/>
        <w:sz w:val="22"/>
        <w:szCs w:val="22"/>
      </w:rPr>
    </w:lvl>
    <w:lvl w:ilvl="1">
      <w:start w:val="1"/>
      <w:numFmt w:val="decimal"/>
      <w:isLgl/>
      <w:lvlText w:val="%1.%2."/>
      <w:lvlJc w:val="left"/>
      <w:pPr>
        <w:ind w:left="720" w:hanging="720"/>
      </w:pPr>
      <w:rPr>
        <w:rFonts w:cstheme="majorHAnsi" w:hint="default"/>
        <w:u w:val="none"/>
      </w:rPr>
    </w:lvl>
    <w:lvl w:ilvl="2">
      <w:start w:val="1"/>
      <w:numFmt w:val="decimal"/>
      <w:isLgl/>
      <w:lvlText w:val="%1.%2.%3."/>
      <w:lvlJc w:val="left"/>
      <w:pPr>
        <w:ind w:left="1080" w:hanging="720"/>
      </w:pPr>
      <w:rPr>
        <w:rFonts w:cstheme="majorHAnsi" w:hint="default"/>
        <w:u w:val="none"/>
      </w:rPr>
    </w:lvl>
    <w:lvl w:ilvl="3">
      <w:start w:val="1"/>
      <w:numFmt w:val="decimal"/>
      <w:isLgl/>
      <w:lvlText w:val="%1.%2.%3.%4."/>
      <w:lvlJc w:val="left"/>
      <w:pPr>
        <w:ind w:left="1440" w:hanging="1080"/>
      </w:pPr>
      <w:rPr>
        <w:rFonts w:cstheme="majorHAnsi" w:hint="default"/>
        <w:u w:val="single"/>
      </w:rPr>
    </w:lvl>
    <w:lvl w:ilvl="4">
      <w:start w:val="1"/>
      <w:numFmt w:val="decimal"/>
      <w:isLgl/>
      <w:lvlText w:val="%1.%2.%3.%4.%5."/>
      <w:lvlJc w:val="left"/>
      <w:pPr>
        <w:ind w:left="1440" w:hanging="1080"/>
      </w:pPr>
      <w:rPr>
        <w:rFonts w:cstheme="majorHAnsi" w:hint="default"/>
        <w:u w:val="single"/>
      </w:rPr>
    </w:lvl>
    <w:lvl w:ilvl="5">
      <w:start w:val="1"/>
      <w:numFmt w:val="decimal"/>
      <w:isLgl/>
      <w:lvlText w:val="%1.%2.%3.%4.%5.%6."/>
      <w:lvlJc w:val="left"/>
      <w:pPr>
        <w:ind w:left="1800" w:hanging="1440"/>
      </w:pPr>
      <w:rPr>
        <w:rFonts w:cstheme="majorHAnsi" w:hint="default"/>
        <w:u w:val="single"/>
      </w:rPr>
    </w:lvl>
    <w:lvl w:ilvl="6">
      <w:start w:val="1"/>
      <w:numFmt w:val="decimal"/>
      <w:isLgl/>
      <w:lvlText w:val="%1.%2.%3.%4.%5.%6.%7."/>
      <w:lvlJc w:val="left"/>
      <w:pPr>
        <w:ind w:left="1800" w:hanging="1440"/>
      </w:pPr>
      <w:rPr>
        <w:rFonts w:cstheme="majorHAnsi" w:hint="default"/>
        <w:u w:val="single"/>
      </w:rPr>
    </w:lvl>
    <w:lvl w:ilvl="7">
      <w:start w:val="1"/>
      <w:numFmt w:val="decimal"/>
      <w:isLgl/>
      <w:lvlText w:val="%1.%2.%3.%4.%5.%6.%7.%8."/>
      <w:lvlJc w:val="left"/>
      <w:pPr>
        <w:ind w:left="2160" w:hanging="1800"/>
      </w:pPr>
      <w:rPr>
        <w:rFonts w:cstheme="majorHAnsi" w:hint="default"/>
        <w:u w:val="single"/>
      </w:rPr>
    </w:lvl>
    <w:lvl w:ilvl="8">
      <w:start w:val="1"/>
      <w:numFmt w:val="decimal"/>
      <w:isLgl/>
      <w:lvlText w:val="%1.%2.%3.%4.%5.%6.%7.%8.%9."/>
      <w:lvlJc w:val="left"/>
      <w:pPr>
        <w:ind w:left="2160" w:hanging="1800"/>
      </w:pPr>
      <w:rPr>
        <w:rFonts w:cstheme="majorHAnsi" w:hint="default"/>
        <w:u w:val="single"/>
      </w:rPr>
    </w:lvl>
  </w:abstractNum>
  <w:abstractNum w:abstractNumId="6" w15:restartNumberingAfterBreak="0">
    <w:nsid w:val="1D9D46B3"/>
    <w:multiLevelType w:val="hybridMultilevel"/>
    <w:tmpl w:val="9D2C1F6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 w15:restartNumberingAfterBreak="0">
    <w:nsid w:val="1E031276"/>
    <w:multiLevelType w:val="hybridMultilevel"/>
    <w:tmpl w:val="C1B6145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2B239C5"/>
    <w:multiLevelType w:val="hybridMultilevel"/>
    <w:tmpl w:val="0E82E04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 w15:restartNumberingAfterBreak="0">
    <w:nsid w:val="25B30705"/>
    <w:multiLevelType w:val="hybridMultilevel"/>
    <w:tmpl w:val="FC2A87D0"/>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0" w15:restartNumberingAfterBreak="0">
    <w:nsid w:val="2A6B0AAC"/>
    <w:multiLevelType w:val="hybridMultilevel"/>
    <w:tmpl w:val="148EE00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 w15:restartNumberingAfterBreak="0">
    <w:nsid w:val="2DC47D1F"/>
    <w:multiLevelType w:val="hybridMultilevel"/>
    <w:tmpl w:val="11EC0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F93046"/>
    <w:multiLevelType w:val="hybridMultilevel"/>
    <w:tmpl w:val="6016B5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4A2444"/>
    <w:multiLevelType w:val="hybridMultilevel"/>
    <w:tmpl w:val="68E481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5FD7622"/>
    <w:multiLevelType w:val="hybridMultilevel"/>
    <w:tmpl w:val="6F347D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1423106"/>
    <w:multiLevelType w:val="hybridMultilevel"/>
    <w:tmpl w:val="BA8AD32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 w15:restartNumberingAfterBreak="0">
    <w:nsid w:val="43BD6194"/>
    <w:multiLevelType w:val="hybridMultilevel"/>
    <w:tmpl w:val="834C9F3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5E768E9"/>
    <w:multiLevelType w:val="hybridMultilevel"/>
    <w:tmpl w:val="13F26D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7497C46"/>
    <w:multiLevelType w:val="hybridMultilevel"/>
    <w:tmpl w:val="C7B4C3B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55FC6EA1"/>
    <w:multiLevelType w:val="hybridMultilevel"/>
    <w:tmpl w:val="FF086E2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F866C0"/>
    <w:multiLevelType w:val="hybridMultilevel"/>
    <w:tmpl w:val="573AAB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31410CD"/>
    <w:multiLevelType w:val="hybridMultilevel"/>
    <w:tmpl w:val="8E5E2EA0"/>
    <w:lvl w:ilvl="0" w:tplc="764810CA">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74BB7117"/>
    <w:multiLevelType w:val="hybridMultilevel"/>
    <w:tmpl w:val="B31A9A2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7CAE727A"/>
    <w:multiLevelType w:val="hybridMultilevel"/>
    <w:tmpl w:val="1B82A9F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4" w15:restartNumberingAfterBreak="0">
    <w:nsid w:val="7EC4713F"/>
    <w:multiLevelType w:val="hybridMultilevel"/>
    <w:tmpl w:val="BBA41E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5160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40281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24285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2594955">
    <w:abstractNumId w:val="4"/>
  </w:num>
  <w:num w:numId="5" w16cid:durableId="1039865670">
    <w:abstractNumId w:val="3"/>
  </w:num>
  <w:num w:numId="6" w16cid:durableId="2073693880">
    <w:abstractNumId w:val="5"/>
  </w:num>
  <w:num w:numId="7" w16cid:durableId="1270622635">
    <w:abstractNumId w:val="24"/>
  </w:num>
  <w:num w:numId="8" w16cid:durableId="465901378">
    <w:abstractNumId w:val="15"/>
  </w:num>
  <w:num w:numId="9" w16cid:durableId="1822765707">
    <w:abstractNumId w:val="16"/>
  </w:num>
  <w:num w:numId="10" w16cid:durableId="1158769482">
    <w:abstractNumId w:val="7"/>
  </w:num>
  <w:num w:numId="11" w16cid:durableId="1411342653">
    <w:abstractNumId w:val="0"/>
  </w:num>
  <w:num w:numId="12" w16cid:durableId="1025442830">
    <w:abstractNumId w:val="10"/>
  </w:num>
  <w:num w:numId="13" w16cid:durableId="2037778215">
    <w:abstractNumId w:val="11"/>
  </w:num>
  <w:num w:numId="14" w16cid:durableId="1582057249">
    <w:abstractNumId w:val="19"/>
  </w:num>
  <w:num w:numId="15" w16cid:durableId="1444034537">
    <w:abstractNumId w:val="12"/>
  </w:num>
  <w:num w:numId="16" w16cid:durableId="1309439562">
    <w:abstractNumId w:val="18"/>
  </w:num>
  <w:num w:numId="17" w16cid:durableId="2016806743">
    <w:abstractNumId w:val="6"/>
  </w:num>
  <w:num w:numId="18" w16cid:durableId="1351955743">
    <w:abstractNumId w:val="23"/>
  </w:num>
  <w:num w:numId="19" w16cid:durableId="1930506830">
    <w:abstractNumId w:val="9"/>
  </w:num>
  <w:num w:numId="20" w16cid:durableId="1173909455">
    <w:abstractNumId w:val="22"/>
  </w:num>
  <w:num w:numId="21" w16cid:durableId="1690595317">
    <w:abstractNumId w:val="13"/>
  </w:num>
  <w:num w:numId="22" w16cid:durableId="1807818428">
    <w:abstractNumId w:val="14"/>
  </w:num>
  <w:num w:numId="23" w16cid:durableId="755440988">
    <w:abstractNumId w:val="17"/>
  </w:num>
  <w:num w:numId="24" w16cid:durableId="1170216315">
    <w:abstractNumId w:val="20"/>
  </w:num>
  <w:num w:numId="25" w16cid:durableId="11244947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AB8"/>
    <w:rsid w:val="00085111"/>
    <w:rsid w:val="002C33D7"/>
    <w:rsid w:val="00476AB8"/>
    <w:rsid w:val="004C1276"/>
    <w:rsid w:val="00532AFE"/>
    <w:rsid w:val="005729F1"/>
    <w:rsid w:val="00582F7F"/>
    <w:rsid w:val="005B2AC7"/>
    <w:rsid w:val="006333C3"/>
    <w:rsid w:val="00852869"/>
    <w:rsid w:val="008B0ABA"/>
    <w:rsid w:val="008B208E"/>
    <w:rsid w:val="00A31614"/>
    <w:rsid w:val="00A47D9B"/>
    <w:rsid w:val="00B1159D"/>
    <w:rsid w:val="00C30B8A"/>
    <w:rsid w:val="00C47645"/>
    <w:rsid w:val="00C907D9"/>
    <w:rsid w:val="00C95210"/>
    <w:rsid w:val="00D22E7A"/>
    <w:rsid w:val="00D27179"/>
    <w:rsid w:val="00EA1104"/>
    <w:rsid w:val="00EA4168"/>
    <w:rsid w:val="00F31A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5F310"/>
  <w15:chartTrackingRefBased/>
  <w15:docId w15:val="{3D559355-1437-41A3-93EE-26C668860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6AB8"/>
    <w:pPr>
      <w:spacing w:after="200" w:line="276" w:lineRule="auto"/>
    </w:pPr>
    <w:rPr>
      <w:rFonts w:ascii="Calibri" w:eastAsia="Times New Roman" w:hAnsi="Calibri" w:cs="Calibri"/>
      <w:kern w:val="0"/>
      <w:lang w:eastAsia="pl-PL"/>
      <w14:ligatures w14:val="none"/>
    </w:rPr>
  </w:style>
  <w:style w:type="paragraph" w:styleId="Nagwek1">
    <w:name w:val="heading 1"/>
    <w:basedOn w:val="Normalny"/>
    <w:next w:val="Normalny"/>
    <w:link w:val="Nagwek1Znak"/>
    <w:uiPriority w:val="9"/>
    <w:qFormat/>
    <w:rsid w:val="00C30B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A47D9B"/>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qFormat/>
    <w:rsid w:val="00476AB8"/>
    <w:pPr>
      <w:spacing w:after="0" w:line="240" w:lineRule="auto"/>
    </w:pPr>
    <w:rPr>
      <w:rFonts w:ascii="Fira Sans" w:eastAsia="Times New Roman" w:hAnsi="Fira Sans" w:cs="Fira Sans"/>
      <w:kern w:val="0"/>
      <w14:ligatures w14:val="none"/>
    </w:rPr>
  </w:style>
  <w:style w:type="character" w:customStyle="1" w:styleId="AkapitzlistZnak">
    <w:name w:val="Akapit z listą Znak"/>
    <w:aliases w:val="Preambuła Znak,L1 Znak,Numerowanie Znak,normalny tekst Znak"/>
    <w:link w:val="Akapitzlist"/>
    <w:uiPriority w:val="34"/>
    <w:locked/>
    <w:rsid w:val="00476AB8"/>
    <w:rPr>
      <w:rFonts w:ascii="Times New Roman" w:hAnsi="Times New Roman" w:cs="Times New Roman"/>
      <w:sz w:val="24"/>
      <w:szCs w:val="24"/>
    </w:rPr>
  </w:style>
  <w:style w:type="paragraph" w:styleId="Akapitzlist">
    <w:name w:val="List Paragraph"/>
    <w:aliases w:val="Preambuła,L1,Numerowanie,normalny tekst"/>
    <w:basedOn w:val="Normalny"/>
    <w:link w:val="AkapitzlistZnak"/>
    <w:uiPriority w:val="34"/>
    <w:qFormat/>
    <w:rsid w:val="00476AB8"/>
    <w:pPr>
      <w:ind w:left="720"/>
      <w:jc w:val="both"/>
    </w:pPr>
    <w:rPr>
      <w:rFonts w:ascii="Times New Roman" w:eastAsiaTheme="minorHAnsi" w:hAnsi="Times New Roman" w:cs="Times New Roman"/>
      <w:kern w:val="2"/>
      <w:sz w:val="24"/>
      <w:szCs w:val="24"/>
      <w:lang w:eastAsia="en-US"/>
      <w14:ligatures w14:val="standardContextual"/>
    </w:rPr>
  </w:style>
  <w:style w:type="character" w:customStyle="1" w:styleId="Nagwek2Znak">
    <w:name w:val="Nagłówek 2 Znak"/>
    <w:basedOn w:val="Domylnaczcionkaakapitu"/>
    <w:link w:val="Nagwek2"/>
    <w:uiPriority w:val="9"/>
    <w:rsid w:val="00A47D9B"/>
    <w:rPr>
      <w:rFonts w:asciiTheme="majorHAnsi" w:eastAsiaTheme="majorEastAsia" w:hAnsiTheme="majorHAnsi" w:cstheme="majorBidi"/>
      <w:color w:val="2F5496" w:themeColor="accent1" w:themeShade="BF"/>
      <w:kern w:val="0"/>
      <w:sz w:val="26"/>
      <w:szCs w:val="26"/>
      <w14:ligatures w14:val="none"/>
    </w:rPr>
  </w:style>
  <w:style w:type="character" w:customStyle="1" w:styleId="Nagwek1Znak">
    <w:name w:val="Nagłówek 1 Znak"/>
    <w:basedOn w:val="Domylnaczcionkaakapitu"/>
    <w:link w:val="Nagwek1"/>
    <w:uiPriority w:val="9"/>
    <w:rsid w:val="00C30B8A"/>
    <w:rPr>
      <w:rFonts w:asciiTheme="majorHAnsi" w:eastAsiaTheme="majorEastAsia" w:hAnsiTheme="majorHAnsi" w:cstheme="majorBidi"/>
      <w:color w:val="2F5496" w:themeColor="accent1" w:themeShade="BF"/>
      <w:kern w:val="0"/>
      <w:sz w:val="32"/>
      <w:szCs w:val="32"/>
      <w:lang w:eastAsia="pl-PL"/>
      <w14:ligatures w14:val="none"/>
    </w:rPr>
  </w:style>
  <w:style w:type="paragraph" w:styleId="Poprawka">
    <w:name w:val="Revision"/>
    <w:hidden/>
    <w:uiPriority w:val="99"/>
    <w:semiHidden/>
    <w:rsid w:val="008B0ABA"/>
    <w:pPr>
      <w:spacing w:after="0" w:line="240" w:lineRule="auto"/>
    </w:pPr>
    <w:rPr>
      <w:rFonts w:ascii="Calibri" w:eastAsia="Times New Roman" w:hAnsi="Calibri" w:cs="Calibri"/>
      <w:kern w:val="0"/>
      <w:lang w:eastAsia="pl-PL"/>
      <w14:ligatures w14:val="none"/>
    </w:rPr>
  </w:style>
  <w:style w:type="character" w:styleId="Odwoaniedokomentarza">
    <w:name w:val="annotation reference"/>
    <w:basedOn w:val="Domylnaczcionkaakapitu"/>
    <w:uiPriority w:val="99"/>
    <w:semiHidden/>
    <w:unhideWhenUsed/>
    <w:rsid w:val="008B0ABA"/>
    <w:rPr>
      <w:sz w:val="16"/>
      <w:szCs w:val="16"/>
    </w:rPr>
  </w:style>
  <w:style w:type="paragraph" w:styleId="Tekstkomentarza">
    <w:name w:val="annotation text"/>
    <w:basedOn w:val="Normalny"/>
    <w:link w:val="TekstkomentarzaZnak"/>
    <w:uiPriority w:val="99"/>
    <w:semiHidden/>
    <w:unhideWhenUsed/>
    <w:rsid w:val="008B0AB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B0ABA"/>
    <w:rPr>
      <w:rFonts w:ascii="Calibri" w:eastAsia="Times New Roman" w:hAnsi="Calibri" w:cs="Calibri"/>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8B0ABA"/>
    <w:rPr>
      <w:b/>
      <w:bCs/>
    </w:rPr>
  </w:style>
  <w:style w:type="character" w:customStyle="1" w:styleId="TematkomentarzaZnak">
    <w:name w:val="Temat komentarza Znak"/>
    <w:basedOn w:val="TekstkomentarzaZnak"/>
    <w:link w:val="Tematkomentarza"/>
    <w:uiPriority w:val="99"/>
    <w:semiHidden/>
    <w:rsid w:val="008B0ABA"/>
    <w:rPr>
      <w:rFonts w:ascii="Calibri" w:eastAsia="Times New Roman" w:hAnsi="Calibri" w:cs="Calibri"/>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20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2615</Words>
  <Characters>15695</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UM15SR</dc:creator>
  <cp:keywords/>
  <dc:description/>
  <cp:lastModifiedBy>UMZP23</cp:lastModifiedBy>
  <cp:revision>2</cp:revision>
  <cp:lastPrinted>2023-04-17T13:45:00Z</cp:lastPrinted>
  <dcterms:created xsi:type="dcterms:W3CDTF">2024-06-11T09:06:00Z</dcterms:created>
  <dcterms:modified xsi:type="dcterms:W3CDTF">2024-06-11T09:06:00Z</dcterms:modified>
</cp:coreProperties>
</file>